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numPr>
          <w:ilvl w:val="1"/>
          <w:numId w:val="1"/>
        </w:numPr>
        <w:spacing w:before="360" w:after="120"/>
        <w:jc w:val="center"/>
        <w:rPr>
          <w:rFonts w:ascii="Times New Roman" w:hAnsi="Times New Roman"/>
          <w:b/>
          <w:b/>
          <w:bCs/>
          <w:i w:val="false"/>
          <w:i w:val="false"/>
          <w:iCs w:val="false"/>
          <w:sz w:val="28"/>
          <w:szCs w:val="28"/>
        </w:rPr>
      </w:pPr>
      <w:r>
        <w:rPr>
          <w:rFonts w:ascii="Times New Roman" w:hAnsi="Times New Roman"/>
          <w:b/>
          <w:bCs/>
          <w:i w:val="false"/>
          <w:iCs w:val="false"/>
          <w:sz w:val="28"/>
          <w:szCs w:val="28"/>
        </w:rPr>
        <w:t xml:space="preserve"> </w:t>
      </w:r>
      <w:r>
        <w:rPr>
          <w:rFonts w:ascii="Times New Roman" w:hAnsi="Times New Roman"/>
          <w:b/>
          <w:bCs/>
          <w:i w:val="false"/>
          <w:iCs w:val="false"/>
          <w:sz w:val="28"/>
          <w:szCs w:val="28"/>
        </w:rPr>
        <w:t>Берегите СНИЛС смолоду!</w:t>
      </w:r>
    </w:p>
    <w:p>
      <w:pPr>
        <w:pStyle w:val="1"/>
        <w:jc w:val="both"/>
        <w:rPr>
          <w:rFonts w:ascii="Times New Roman" w:hAnsi="Times New Roman"/>
          <w:b w:val="false"/>
          <w:b w:val="false"/>
          <w:bCs w:val="false"/>
          <w:i w:val="false"/>
          <w:i w:val="false"/>
          <w:iCs w:val="false"/>
          <w:sz w:val="28"/>
          <w:szCs w:val="28"/>
        </w:rPr>
      </w:pPr>
      <w:bookmarkStart w:id="0" w:name="__RefHeading___Toc496085365"/>
      <w:bookmarkEnd w:id="0"/>
      <w:r>
        <w:rPr>
          <w:rFonts w:ascii="Times New Roman" w:hAnsi="Times New Roman"/>
          <w:b w:val="false"/>
          <w:bCs w:val="false"/>
          <w:i w:val="false"/>
          <w:iCs w:val="false"/>
          <w:sz w:val="28"/>
          <w:szCs w:val="28"/>
        </w:rPr>
        <w:t>В  ПФР регулярно поступают обращения от граждан, которые интересуются, зачем работники Пенсионного фонда «стучатся людям в квартиры и просят предъявить СНИЛС?».</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Прежде всего, обращаем внимание, что представители Пенсионного фонда России не ходят по квартирам граждан. В исключительных случаях сотрудники ПФР могут провести прием маломобильного гражданина с выездом на дом, но только по предварительной с ним договоренности.</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По сообщениям правоохранительных органов под видом сотрудников «пенсионного фонда» граждан навещают мошенники. Особенно нужно быть бдительными одиноким пожилым людям и не впускать посторонних в квартиру.</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Гражданам 1967 года рождения и моложе, а именно у них есть сформированные пенсионные накопления, нужно внимательно относится к гостям, интересующимся их персональными данными и СНИЛС (страховым номером индивидуального лицевого счета), указанном в страховом свидетельстве обязательного пенсионного страхования –зеленой карточке. Такая информация может быть использована недобросовестными агентами негосударственных пенсионных фондов (НПФ). Их цель – получить агентское вознаграждение за привлечение клиентов, чьи пенсионные накопления будут переведены либо из ПФР, либо из другого НПФ.</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У каждого гражданина есть право выбора страховщика по обязательному пенсионному страхованию. Кому доверить формирование своих пенсионных накоплений - личное дело каждого. Если принимается решение сменить страховщика, стоит отнестись к выбору максимально ответственно и осознанно. Гражданам необходимо знать, какие существуют варианты перехода, и чем может грозить поспешная смена страховщика.</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Несмотря на тот факт, что пользоваться правом на смену страховщика граждане могут ежегодно, необходимо помнить, что перевод пенсионных накоплений чаще одного раза в 5 лет, приводит к потере инвестиционного дохода, полученного действующим страховщиком.</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Гражданин имеет право, подав в ПФР соответствующее заявление, выбрать «переход» от одного страховщика к другому, который будет осуществлён через 5 лет, и «досрочный переход», который будет осуществлен на следующий год.</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Заявление о переходе рассматривается до 1 марта года, следующего за годом, в котором истекает 5-летний срок с года подачи заявления. Перевод средств выбранному страховщику будет осуществлён до 31 марта года рассмотрения заявления. При этом будут переданы средства пенсионных накоплений, учтенные на индивидуальном пенсионном счете, включая доход от инвестирования. В случае если результат от инвестирования окажется отрицательным, то убыток будет восполнен.</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Заявление о досрочном переходе рассматривается до 1 марта года, следующего за годом подачи заявления. Средства новому страховщику в этом случае поступят до 31 марта года, следующего за годом подачи заявления. При этом может быть потерян инвестиционный доход (за год и более), а при отрицательном результате инвестирования возможно уменьшение средств пенсионных накоплений.</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В заявлении о досрочном переходе гражданин проставляет свою подпись под информацией «Мне известно, что досрочный переход может повлечь потерю инвестиционного дохода, а также уменьшение моих средств пенсионных накоплений на сумму отрицательного инвестиционного результата». Подпись гражданина подтверждает факт его ознакомления с этой информацией.</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Если кто-либо в спешке подпишет документы без внимательного их прочтения, тому не стоит удивляться, что его пенсионные накопления оказались у нового страховщика. Во избежание таких ситуаций необходимо внимательно читать то, что предлагают подписать.</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Советуем регулярно проверять состояние своего индивидуального лицевого счёта в ПФР в Личном кабинете на портале es.pfrf.ru или с помощью бесплатного мобильного приложения для смартфонов и планшетов «ПФР электронные сервисы». Это можно сделать и на Едином портале госуслуг. Электронные сервисы позволяют не только в режиме реального времени следить за формированием пенсионных прав, получать основные услуги ПФР в электронном виде, но и оперативно узнать о смене страховщика.</w:t>
      </w:r>
    </w:p>
    <w:p>
      <w:pPr>
        <w:pStyle w:val="Style17"/>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Также можно обращаться в клиентскую службу УПФР.</w:t>
      </w:r>
    </w:p>
    <w:p>
      <w:pPr>
        <w:pStyle w:val="Style17"/>
        <w:spacing w:before="0" w:after="120"/>
        <w:rPr>
          <w:rFonts w:ascii="Times New Roman" w:hAnsi="Times New Roman"/>
          <w:b w:val="false"/>
          <w:b w:val="false"/>
          <w:bCs w:val="false"/>
          <w:i w:val="false"/>
          <w:i w:val="false"/>
          <w:iCs w:val="false"/>
          <w:sz w:val="28"/>
          <w:szCs w:val="28"/>
        </w:rPr>
      </w:pPr>
      <w:r>
        <w:rPr>
          <w:rFonts w:ascii="Times New Roman" w:hAnsi="Times New Roman"/>
          <w:b w:val="false"/>
          <w:bCs w:val="false"/>
          <w:i w:val="false"/>
          <w:iCs w:val="false"/>
          <w:sz w:val="28"/>
          <w:szCs w:val="28"/>
        </w:rPr>
        <w:tab/>
        <w:t>Управление Пенсионного фонда призывает граждан быть бдительными, не разглашать персональные данные неизвестным лицам и управлять своими пенсионными накоплениями осознанно!</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swiss"/>
    <w:pitch w:val="variable"/>
  </w:font>
  <w:font w:name="Liberation Sans">
    <w:altName w:val="Arial"/>
    <w:charset w:val="cc"/>
    <w:family w:val="swiss"/>
    <w:pitch w:val="variable"/>
  </w:font>
  <w:font w:name="Times New Roman">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2">
    <w:name w:val="Заголовок 2"/>
    <w:next w:val="Normal"/>
    <w:pPr>
      <w:keepNext/>
      <w:keepLines/>
      <w:widowControl/>
      <w:numPr>
        <w:ilvl w:val="1"/>
        <w:numId w:val="1"/>
      </w:numPr>
      <w:spacing w:before="360" w:after="120"/>
      <w:jc w:val="both"/>
      <w:outlineLvl w:val="1"/>
      <w:outlineLvl w:val="1"/>
    </w:pPr>
    <w:rPr>
      <w:rFonts w:ascii="Arial" w:hAnsi="Arial" w:eastAsia="Times New Roman;Times New Roman" w:cs="Arial"/>
      <w:b/>
      <w:bCs/>
      <w:i/>
      <w:iCs/>
      <w:color w:val="auto"/>
      <w:sz w:val="28"/>
      <w:szCs w:val="28"/>
      <w:lang w:val="ru-RU" w:bidi="ar-SA" w:eastAsia="zh-CN"/>
    </w:rPr>
  </w:style>
  <w:style w:type="paragraph" w:styleId="3">
    <w:name w:val="Заголовок 3"/>
    <w:basedOn w:val="Normal"/>
    <w:next w:val="Normal"/>
    <w:pPr>
      <w:keepNext/>
      <w:keepLines/>
      <w:numPr>
        <w:ilvl w:val="2"/>
        <w:numId w:val="1"/>
      </w:numPr>
      <w:ind w:firstLine="709"/>
      <w:outlineLvl w:val="2"/>
      <w:outlineLvl w:val="2"/>
    </w:pPr>
    <w:rPr>
      <w:rFonts w:ascii="Arial" w:hAnsi="Arial" w:cs="Arial"/>
      <w:bCs/>
      <w:i/>
      <w:szCs w:val="26"/>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Текст новости"/>
    <w:qFormat/>
    <w:pPr>
      <w:widowControl/>
      <w:spacing w:before="0" w:after="120"/>
      <w:jc w:val="both"/>
    </w:pPr>
    <w:rPr>
      <w:rFonts w:ascii="Times New Roman;Times New Roman" w:hAnsi="Times New Roman;Times New Roman" w:eastAsia="Times New Roman;Times New Roman" w:cs="Times New Roman;Times New Roman"/>
      <w:color w:val="auto"/>
      <w:sz w:val="24"/>
      <w:szCs w:val="24"/>
      <w:lang w:val="ru-RU" w:bidi="ar-SA" w:eastAsia="zh-CN"/>
    </w:rPr>
  </w:style>
  <w:style w:type="paragraph" w:styleId="1">
    <w:name w:val="Б1"/>
    <w:basedOn w:val="3"/>
    <w:qFormat/>
    <w:pPr>
      <w:numPr>
        <w:ilvl w:val="0"/>
        <w:numId w:val="0"/>
      </w:numPr>
      <w:ind w:firstLine="709"/>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45</TotalTime>
  <Application>LibreOffice/5.0.3.2$Windows_x86 LibreOffice_project/e5f16313668ac592c1bfb310f4390624e3dbfb75</Application>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2017-10-18T12:24:14Z</dcterms:created>
  <dc:language>ru-RU</dc:language>
  <dcterms:modified xsi:type="dcterms:W3CDTF">2017-10-18T13:09:15Z</dcterms:modified>
  <cp:revision>1</cp:revision>
</cp:coreProperties>
</file>