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63D" w:rsidRPr="00796D53" w:rsidRDefault="003F363D" w:rsidP="003F363D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796D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ИНФОРМАЦИОННЫЙ БЮЛЛЕТЕНЬ</w:t>
      </w:r>
    </w:p>
    <w:p w:rsidR="003F363D" w:rsidRPr="00796D53" w:rsidRDefault="003F363D" w:rsidP="003F363D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796D53">
        <w:rPr>
          <w:rFonts w:ascii="Times New Roman" w:hAnsi="Times New Roman" w:cs="Times New Roman"/>
          <w:b/>
          <w:sz w:val="28"/>
          <w:szCs w:val="28"/>
        </w:rPr>
        <w:t>ТУРГЕНЕВСКОГО ГОРОДСКОГО  ПОСЕЛЕНИЯ</w:t>
      </w:r>
    </w:p>
    <w:p w:rsidR="003F363D" w:rsidRPr="00796D53" w:rsidRDefault="003F363D" w:rsidP="003F363D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D53">
        <w:rPr>
          <w:rFonts w:ascii="Times New Roman" w:hAnsi="Times New Roman" w:cs="Times New Roman"/>
          <w:b/>
          <w:sz w:val="28"/>
          <w:szCs w:val="28"/>
        </w:rPr>
        <w:t>АРДАТОВСКОГО МУНИЦИПАЛЬНОГО  РАЙОНА</w:t>
      </w:r>
    </w:p>
    <w:p w:rsidR="003F363D" w:rsidRPr="00796D53" w:rsidRDefault="003F363D" w:rsidP="003F363D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D5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Pr="00796D53">
        <w:rPr>
          <w:rFonts w:ascii="Times New Roman" w:hAnsi="Times New Roman" w:cs="Times New Roman"/>
          <w:b/>
          <w:szCs w:val="28"/>
        </w:rPr>
        <w:t xml:space="preserve"> </w:t>
      </w:r>
    </w:p>
    <w:p w:rsidR="003F363D" w:rsidRPr="00796D53" w:rsidRDefault="003F363D" w:rsidP="003F363D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796D53">
        <w:rPr>
          <w:rFonts w:ascii="Times New Roman" w:hAnsi="Times New Roman" w:cs="Times New Roman"/>
          <w:sz w:val="28"/>
          <w:szCs w:val="28"/>
        </w:rPr>
        <w:t>№ 1</w:t>
      </w:r>
      <w:r w:rsidR="00796D53" w:rsidRPr="00796D53">
        <w:rPr>
          <w:rFonts w:ascii="Times New Roman" w:hAnsi="Times New Roman" w:cs="Times New Roman"/>
          <w:sz w:val="28"/>
          <w:szCs w:val="28"/>
        </w:rPr>
        <w:t>8</w:t>
      </w:r>
      <w:r w:rsidRPr="00796D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796D53" w:rsidRPr="00796D53">
        <w:rPr>
          <w:rFonts w:ascii="Times New Roman" w:hAnsi="Times New Roman" w:cs="Times New Roman"/>
          <w:sz w:val="28"/>
          <w:szCs w:val="28"/>
        </w:rPr>
        <w:t>17</w:t>
      </w:r>
      <w:r w:rsidRPr="00796D53">
        <w:rPr>
          <w:rFonts w:ascii="Times New Roman" w:hAnsi="Times New Roman" w:cs="Times New Roman"/>
          <w:sz w:val="28"/>
          <w:szCs w:val="28"/>
        </w:rPr>
        <w:t xml:space="preserve"> мая 2019 года                           </w:t>
      </w:r>
    </w:p>
    <w:p w:rsidR="003F363D" w:rsidRPr="00796D53" w:rsidRDefault="003F363D" w:rsidP="003F363D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796D53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3F363D" w:rsidRPr="00796D53" w:rsidRDefault="003F363D" w:rsidP="003F363D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796D53">
        <w:rPr>
          <w:rFonts w:ascii="Times New Roman" w:hAnsi="Times New Roman" w:cs="Times New Roman"/>
          <w:sz w:val="28"/>
          <w:szCs w:val="28"/>
        </w:rPr>
        <w:t>Изданием Тургеневского городского поселения</w:t>
      </w:r>
    </w:p>
    <w:p w:rsidR="00A029BB" w:rsidRPr="00796D53" w:rsidRDefault="003F363D" w:rsidP="003F363D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 w:rsidRPr="00796D5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96D53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796D53" w:rsidRDefault="00796D53" w:rsidP="00796D53">
      <w:pPr>
        <w:autoSpaceDE w:val="0"/>
        <w:autoSpaceDN w:val="0"/>
        <w:adjustRightInd w:val="0"/>
        <w:spacing w:after="0" w:line="240" w:lineRule="atLeast"/>
        <w:ind w:firstLine="708"/>
        <w:jc w:val="center"/>
        <w:rPr>
          <w:rFonts w:ascii="Times New Roman" w:eastAsia="Times New Roman" w:hAnsi="Times New Roman" w:cs="Times New Roman"/>
          <w:b/>
          <w:snapToGrid w:val="0"/>
          <w:sz w:val="30"/>
          <w:szCs w:val="30"/>
          <w:lang w:eastAsia="ru-RU"/>
        </w:rPr>
      </w:pPr>
    </w:p>
    <w:p w:rsidR="00796D53" w:rsidRPr="00796D53" w:rsidRDefault="00796D53" w:rsidP="00796D53">
      <w:pPr>
        <w:autoSpaceDE w:val="0"/>
        <w:autoSpaceDN w:val="0"/>
        <w:adjustRightInd w:val="0"/>
        <w:spacing w:after="0" w:line="240" w:lineRule="atLeast"/>
        <w:ind w:firstLine="708"/>
        <w:jc w:val="center"/>
        <w:rPr>
          <w:rFonts w:ascii="Times New Roman" w:eastAsia="Times New Roman" w:hAnsi="Times New Roman" w:cs="Times New Roman"/>
          <w:b/>
          <w:snapToGrid w:val="0"/>
          <w:sz w:val="30"/>
          <w:szCs w:val="30"/>
          <w:lang w:eastAsia="ru-RU"/>
        </w:rPr>
      </w:pPr>
      <w:r w:rsidRPr="00796D53">
        <w:rPr>
          <w:rFonts w:ascii="Times New Roman" w:eastAsia="Times New Roman" w:hAnsi="Times New Roman" w:cs="Times New Roman"/>
          <w:b/>
          <w:snapToGrid w:val="0"/>
          <w:sz w:val="30"/>
          <w:szCs w:val="30"/>
          <w:lang w:eastAsia="ru-RU"/>
        </w:rPr>
        <w:t>НАЛОГОВЫЕ ОРГАНЫ РАЗЪЯСНЯЮТ, В КАКИХ СЛУЧАЯХ ТЕПЛИЦЫ И ДРУГИЕ ХОЗПОСТРОЙКИ ФИЗЛИЦ ОБЛАГАЮТСЯ НАЛОГОМ</w:t>
      </w:r>
    </w:p>
    <w:p w:rsidR="00796D53" w:rsidRPr="00796D53" w:rsidRDefault="00796D53" w:rsidP="00796D53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napToGrid w:val="0"/>
          <w:sz w:val="30"/>
          <w:szCs w:val="30"/>
          <w:lang w:eastAsia="ru-RU"/>
        </w:rPr>
      </w:pPr>
    </w:p>
    <w:p w:rsidR="00796D53" w:rsidRPr="00796D53" w:rsidRDefault="00796D53" w:rsidP="00796D53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</w:pPr>
      <w:proofErr w:type="gramStart"/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 xml:space="preserve">В соответствии с положениями статьи 400, пункта 2 статьи 408 Налогового кодекса Российской Федерации (далее – Налоговый кодекс) налогом на имущество физических лиц (далее – налог) облагаются только те хозяйственные постройки, </w:t>
      </w:r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 xml:space="preserve">сведения о которых представлены в налоговые органы органами </w:t>
      </w:r>
      <w:proofErr w:type="spellStart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>Росреестра</w:t>
      </w:r>
      <w:proofErr w:type="spellEnd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 xml:space="preserve"> из Единого государственного реестра недвижимости (далее – ЕГРН) или были представлены в налоговые органы из БТИ. </w:t>
      </w:r>
      <w:proofErr w:type="gramEnd"/>
    </w:p>
    <w:p w:rsidR="00796D53" w:rsidRPr="00796D53" w:rsidRDefault="00796D53" w:rsidP="00796D53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 xml:space="preserve">В число </w:t>
      </w:r>
      <w:proofErr w:type="spellStart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>хозпостроек</w:t>
      </w:r>
      <w:proofErr w:type="spellEnd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 xml:space="preserve"> могут входить хозяйственные, бытовые, подсобные капитальные строения, вспомогательные сооружения, в том числе летние кухни, бани и иные аналогичные объекты недвижимости. Жилые помещения и гаражи не являются </w:t>
      </w:r>
      <w:proofErr w:type="spellStart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>хозпостройками</w:t>
      </w:r>
      <w:proofErr w:type="spellEnd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 xml:space="preserve"> и облагаются налогом как самостоятельная недвижимость (</w:t>
      </w:r>
      <w:r w:rsidRPr="00796D5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разъяснения Минфина России от 16.05.2017 № 03-05-04-01/29325 доведены до налоговых органов письмом ФНС России от 17.05.2017 № БС-4-21/9186@). </w:t>
      </w:r>
    </w:p>
    <w:p w:rsidR="00796D53" w:rsidRPr="00796D53" w:rsidRDefault="00796D53" w:rsidP="00796D53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</w:pPr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 xml:space="preserve">Владелец </w:t>
      </w:r>
      <w:proofErr w:type="spellStart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>хозпостройки</w:t>
      </w:r>
      <w:proofErr w:type="spellEnd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 xml:space="preserve"> сам определяет, нужно ему обращаться в органы </w:t>
      </w:r>
      <w:proofErr w:type="spellStart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>Росреестра</w:t>
      </w:r>
      <w:proofErr w:type="spellEnd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 xml:space="preserve"> для ее регистрации в качестве недвижимости в ЕГРН или нет. Для внесения в ЕГРН </w:t>
      </w:r>
      <w:proofErr w:type="spellStart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>хозпостройка</w:t>
      </w:r>
      <w:proofErr w:type="spellEnd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 xml:space="preserve"> должна отвечать признакам недвижимости: быть прочно связана с землей, а ее перемещение без несоразмерного ущерба ее назначению невозможно (пункт 1 статьи 130 Гражданского кодекса Российской Федерации)</w:t>
      </w:r>
      <w:r w:rsidRPr="00796D53">
        <w:rPr>
          <w:rFonts w:ascii="Times New Roman" w:eastAsia="Times New Roman" w:hAnsi="Times New Roman" w:cs="Times New Roman"/>
          <w:snapToGrid w:val="0"/>
          <w:vanish/>
          <w:color w:val="000000"/>
          <w:sz w:val="30"/>
          <w:szCs w:val="30"/>
          <w:lang w:eastAsia="ru-RU"/>
        </w:rPr>
        <w:t>осисийской Федерации)</w:t>
      </w:r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 xml:space="preserve">. </w:t>
      </w:r>
    </w:p>
    <w:p w:rsidR="00796D53" w:rsidRPr="00796D53" w:rsidRDefault="00796D53" w:rsidP="00796D53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30"/>
          <w:szCs w:val="30"/>
          <w:lang w:eastAsia="ru-RU"/>
        </w:rPr>
      </w:pPr>
      <w:proofErr w:type="spellStart"/>
      <w:r w:rsidRPr="00796D53">
        <w:rPr>
          <w:rFonts w:ascii="Times New Roman" w:eastAsia="Times New Roman" w:hAnsi="Times New Roman" w:cs="Times New Roman"/>
          <w:b/>
          <w:snapToGrid w:val="0"/>
          <w:color w:val="000000"/>
          <w:sz w:val="30"/>
          <w:szCs w:val="30"/>
          <w:lang w:eastAsia="ru-RU"/>
        </w:rPr>
        <w:t>Хозпостройки</w:t>
      </w:r>
      <w:proofErr w:type="spellEnd"/>
      <w:r w:rsidRPr="00796D53">
        <w:rPr>
          <w:rFonts w:ascii="Times New Roman" w:eastAsia="Times New Roman" w:hAnsi="Times New Roman" w:cs="Times New Roman"/>
          <w:b/>
          <w:snapToGrid w:val="0"/>
          <w:color w:val="000000"/>
          <w:sz w:val="30"/>
          <w:szCs w:val="30"/>
          <w:lang w:eastAsia="ru-RU"/>
        </w:rPr>
        <w:t>, которые не относятся к недвижимости, а также объекты движимого имущества в ЕГРН не регистрируются (статья 131 Гражданского кодекса Российской Федерации) и вышеуказанным налогом не облагаются. Речь идет, в частности, о не имеющих капитального фундамента теплицах, сборно-</w:t>
      </w:r>
      <w:r w:rsidRPr="00796D53">
        <w:rPr>
          <w:rFonts w:ascii="Times New Roman" w:eastAsia="Times New Roman" w:hAnsi="Times New Roman" w:cs="Times New Roman"/>
          <w:b/>
          <w:snapToGrid w:val="0"/>
          <w:color w:val="000000"/>
          <w:sz w:val="30"/>
          <w:szCs w:val="30"/>
          <w:lang w:eastAsia="ru-RU"/>
        </w:rPr>
        <w:lastRenderedPageBreak/>
        <w:t xml:space="preserve">разборных </w:t>
      </w:r>
      <w:proofErr w:type="spellStart"/>
      <w:r w:rsidRPr="00796D53">
        <w:rPr>
          <w:rFonts w:ascii="Times New Roman" w:eastAsia="Times New Roman" w:hAnsi="Times New Roman" w:cs="Times New Roman"/>
          <w:b/>
          <w:snapToGrid w:val="0"/>
          <w:color w:val="000000"/>
          <w:sz w:val="30"/>
          <w:szCs w:val="30"/>
          <w:lang w:eastAsia="ru-RU"/>
        </w:rPr>
        <w:t>хозблоках</w:t>
      </w:r>
      <w:proofErr w:type="spellEnd"/>
      <w:r w:rsidRPr="00796D53">
        <w:rPr>
          <w:rFonts w:ascii="Times New Roman" w:eastAsia="Times New Roman" w:hAnsi="Times New Roman" w:cs="Times New Roman"/>
          <w:b/>
          <w:snapToGrid w:val="0"/>
          <w:color w:val="000000"/>
          <w:sz w:val="30"/>
          <w:szCs w:val="30"/>
          <w:lang w:eastAsia="ru-RU"/>
        </w:rPr>
        <w:t xml:space="preserve">, бытовках, навесах, некапитальных временных строениях и т.п. </w:t>
      </w:r>
    </w:p>
    <w:p w:rsidR="00796D53" w:rsidRPr="00796D53" w:rsidRDefault="00796D53" w:rsidP="00796D53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</w:pPr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 xml:space="preserve">Если </w:t>
      </w:r>
      <w:proofErr w:type="spellStart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>хозпостройка</w:t>
      </w:r>
      <w:proofErr w:type="spellEnd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 xml:space="preserve"> зарегистрирована в ЕГРН, но ее площадь не более 50 </w:t>
      </w:r>
      <w:proofErr w:type="spellStart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>кв</w:t>
      </w:r>
      <w:proofErr w:type="gramStart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>.м</w:t>
      </w:r>
      <w:proofErr w:type="spellEnd"/>
      <w:proofErr w:type="gramEnd"/>
      <w:r w:rsidRPr="00796D53">
        <w:rPr>
          <w:rFonts w:ascii="Times New Roman" w:eastAsia="Times New Roman" w:hAnsi="Times New Roman" w:cs="Times New Roman"/>
          <w:snapToGrid w:val="0"/>
          <w:color w:val="000000"/>
          <w:sz w:val="30"/>
          <w:szCs w:val="30"/>
          <w:lang w:eastAsia="ru-RU"/>
        </w:rPr>
        <w:t xml:space="preserve">, то </w:t>
      </w:r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 xml:space="preserve">налог с нее не взимается. Льгота применяется только для одной </w:t>
      </w:r>
      <w:proofErr w:type="spellStart"/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>хозпостройки</w:t>
      </w:r>
      <w:proofErr w:type="spellEnd"/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 xml:space="preserve"> (независимо от её расположения в пределах страны). Основное условие – постройка не используется в предпринимательской деятельности (подпункт 15 пункта 1, пункты 2-5 статьи 407 Налогового кодекса). </w:t>
      </w:r>
    </w:p>
    <w:p w:rsidR="00796D53" w:rsidRPr="00796D53" w:rsidRDefault="00796D53" w:rsidP="00796D53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napToGrid w:val="0"/>
          <w:sz w:val="26"/>
          <w:szCs w:val="20"/>
          <w:lang w:eastAsia="ru-RU"/>
        </w:rPr>
      </w:pPr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 xml:space="preserve">В силу пункта 2 статьи 399 Налогового кодекса представительные органы муниципальных образований могут расширить условия применения вышеуказанной налоговой льготы по налогу (например, в отношении неограниченного числа </w:t>
      </w:r>
      <w:proofErr w:type="spellStart"/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>хозпостроек</w:t>
      </w:r>
      <w:proofErr w:type="spellEnd"/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 xml:space="preserve"> в пределах муниципального образования или на </w:t>
      </w:r>
      <w:proofErr w:type="spellStart"/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>хозпостройки</w:t>
      </w:r>
      <w:proofErr w:type="spellEnd"/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 xml:space="preserve"> площадью более 50 </w:t>
      </w:r>
      <w:proofErr w:type="spellStart"/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>кв.м</w:t>
      </w:r>
      <w:proofErr w:type="spellEnd"/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 xml:space="preserve">). Ознакомиться с перечнем налоговых льгот можно в сервисе «Справочная информация о ставках и льготах по имущественным налогам» на сайте ФНС России </w:t>
      </w:r>
      <w:proofErr w:type="spellStart"/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val="en-US" w:eastAsia="ru-RU"/>
        </w:rPr>
        <w:t>nalog</w:t>
      </w:r>
      <w:proofErr w:type="spellEnd"/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>.</w:t>
      </w:r>
      <w:proofErr w:type="spellStart"/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val="en-US" w:eastAsia="ru-RU"/>
        </w:rPr>
        <w:t>ru</w:t>
      </w:r>
      <w:proofErr w:type="spellEnd"/>
      <w:r w:rsidRPr="00796D53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 xml:space="preserve">. </w:t>
      </w:r>
    </w:p>
    <w:p w:rsidR="00796D53" w:rsidRDefault="00796D53" w:rsidP="00B910DE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jc w:val="both"/>
        <w:rPr>
          <w:sz w:val="28"/>
          <w:szCs w:val="28"/>
        </w:rPr>
      </w:pPr>
    </w:p>
    <w:p w:rsidR="00B910DE" w:rsidRPr="00796D53" w:rsidRDefault="00B910DE" w:rsidP="00796D5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D53">
        <w:rPr>
          <w:rFonts w:ascii="Times New Roman" w:hAnsi="Times New Roman" w:cs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796D5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96D5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               </w:t>
      </w:r>
    </w:p>
    <w:p w:rsidR="00B910DE" w:rsidRPr="00796D53" w:rsidRDefault="00B910DE" w:rsidP="00796D5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D53">
        <w:rPr>
          <w:rFonts w:ascii="Times New Roman" w:hAnsi="Times New Roman" w:cs="Times New Roman"/>
          <w:sz w:val="28"/>
          <w:szCs w:val="28"/>
        </w:rPr>
        <w:t>№1</w:t>
      </w:r>
      <w:r w:rsidR="00796D53">
        <w:rPr>
          <w:rFonts w:ascii="Times New Roman" w:hAnsi="Times New Roman" w:cs="Times New Roman"/>
          <w:sz w:val="28"/>
          <w:szCs w:val="28"/>
        </w:rPr>
        <w:t>8</w:t>
      </w:r>
      <w:r w:rsidRPr="00796D53">
        <w:rPr>
          <w:rFonts w:ascii="Times New Roman" w:hAnsi="Times New Roman" w:cs="Times New Roman"/>
          <w:sz w:val="28"/>
          <w:szCs w:val="28"/>
        </w:rPr>
        <w:t xml:space="preserve">   от  </w:t>
      </w:r>
      <w:r w:rsidR="00796D53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Pr="00796D53">
        <w:rPr>
          <w:rFonts w:ascii="Times New Roman" w:hAnsi="Times New Roman" w:cs="Times New Roman"/>
          <w:sz w:val="28"/>
          <w:szCs w:val="28"/>
        </w:rPr>
        <w:t>7 мая   2019   год</w:t>
      </w:r>
    </w:p>
    <w:p w:rsidR="00B910DE" w:rsidRPr="00796D53" w:rsidRDefault="00B910DE" w:rsidP="00796D5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D53">
        <w:rPr>
          <w:rFonts w:ascii="Times New Roman" w:hAnsi="Times New Roman" w:cs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B910DE" w:rsidRPr="00796D53" w:rsidRDefault="00B910DE" w:rsidP="00796D5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6D5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96D5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B910DE" w:rsidRPr="00796D53" w:rsidRDefault="00B910DE" w:rsidP="00796D5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D53">
        <w:rPr>
          <w:rFonts w:ascii="Times New Roman" w:hAnsi="Times New Roman" w:cs="Times New Roman"/>
          <w:sz w:val="28"/>
          <w:szCs w:val="28"/>
        </w:rPr>
        <w:t>Тираж: 10 экз.</w:t>
      </w:r>
    </w:p>
    <w:p w:rsidR="00A029BB" w:rsidRPr="007C3D07" w:rsidRDefault="00A029BB" w:rsidP="00A029BB">
      <w:pPr>
        <w:pStyle w:val="a3"/>
        <w:rPr>
          <w:sz w:val="28"/>
          <w:szCs w:val="28"/>
        </w:rPr>
      </w:pPr>
    </w:p>
    <w:p w:rsidR="000426D7" w:rsidRDefault="000426D7"/>
    <w:sectPr w:rsidR="000426D7" w:rsidSect="00FA672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7AA7"/>
    <w:rsid w:val="000426D7"/>
    <w:rsid w:val="00263DF3"/>
    <w:rsid w:val="003F363D"/>
    <w:rsid w:val="00512183"/>
    <w:rsid w:val="00587C8D"/>
    <w:rsid w:val="00796D53"/>
    <w:rsid w:val="00864ED4"/>
    <w:rsid w:val="00866765"/>
    <w:rsid w:val="00A029BB"/>
    <w:rsid w:val="00B910DE"/>
    <w:rsid w:val="00D8253B"/>
    <w:rsid w:val="00F27AA7"/>
    <w:rsid w:val="00FA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2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029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2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029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9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2019-05-17T05:19:00Z</cp:lastPrinted>
  <dcterms:created xsi:type="dcterms:W3CDTF">2018-11-15T07:27:00Z</dcterms:created>
  <dcterms:modified xsi:type="dcterms:W3CDTF">2019-05-17T05:19:00Z</dcterms:modified>
</cp:coreProperties>
</file>