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BDD" w:rsidRPr="00E17600" w:rsidRDefault="00ED1BDD" w:rsidP="00EC4CCB">
      <w:pPr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E17600">
        <w:rPr>
          <w:rFonts w:ascii="Times New Roman" w:hAnsi="Times New Roman"/>
          <w:b/>
          <w:i/>
          <w:sz w:val="20"/>
          <w:szCs w:val="20"/>
        </w:rPr>
        <w:t>Типовая форма 1</w:t>
      </w:r>
    </w:p>
    <w:p w:rsidR="00ED1BDD" w:rsidRPr="00E17600" w:rsidRDefault="00ED1BDD" w:rsidP="00EC4CCB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ED1BDD" w:rsidRPr="00E17600" w:rsidRDefault="00ED1BDD" w:rsidP="000E0AE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17600">
        <w:rPr>
          <w:rFonts w:ascii="Times New Roman" w:hAnsi="Times New Roman"/>
          <w:b/>
          <w:sz w:val="20"/>
          <w:szCs w:val="20"/>
        </w:rPr>
        <w:t>Отчет о ходе реализации «Плана мероприятий («дорожной карты»)</w:t>
      </w:r>
    </w:p>
    <w:p w:rsidR="00ED1BDD" w:rsidRPr="00E17600" w:rsidRDefault="00ED1BDD" w:rsidP="000E0AE8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17600">
        <w:rPr>
          <w:rFonts w:ascii="Times New Roman" w:hAnsi="Times New Roman"/>
          <w:b/>
          <w:sz w:val="20"/>
          <w:szCs w:val="20"/>
        </w:rPr>
        <w:t xml:space="preserve">по содействию развитию конкуренции  Ардатовского  муниципального района» за  </w:t>
      </w:r>
      <w:smartTag w:uri="urn:schemas-microsoft-com:office:smarttags" w:element="metricconverter">
        <w:smartTagPr>
          <w:attr w:name="ProductID" w:val="2017 г"/>
        </w:smartTagPr>
        <w:r w:rsidRPr="00E17600">
          <w:rPr>
            <w:rFonts w:ascii="Times New Roman" w:hAnsi="Times New Roman"/>
            <w:b/>
            <w:sz w:val="20"/>
            <w:szCs w:val="20"/>
          </w:rPr>
          <w:t>2017 г</w:t>
        </w:r>
      </w:smartTag>
      <w:r w:rsidRPr="00E17600">
        <w:rPr>
          <w:rFonts w:ascii="Times New Roman" w:hAnsi="Times New Roman"/>
          <w:b/>
          <w:sz w:val="20"/>
          <w:szCs w:val="20"/>
        </w:rPr>
        <w:t>.</w:t>
      </w:r>
    </w:p>
    <w:tbl>
      <w:tblPr>
        <w:tblpPr w:leftFromText="180" w:rightFromText="180" w:vertAnchor="text" w:tblpY="1"/>
        <w:tblOverlap w:val="never"/>
        <w:tblW w:w="14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11"/>
        <w:gridCol w:w="5040"/>
        <w:gridCol w:w="46"/>
        <w:gridCol w:w="1214"/>
        <w:gridCol w:w="351"/>
        <w:gridCol w:w="9"/>
        <w:gridCol w:w="4500"/>
        <w:gridCol w:w="27"/>
        <w:gridCol w:w="2673"/>
      </w:tblGrid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*Результат</w:t>
            </w:r>
          </w:p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выполнения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Мероприятия, направленные на оптимизацию процедур закупок товаров, работ,услуг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Организовано взаимодействие с хозяйствующими субъектами, доля участия  муниципального образования в которых составляет 50 и более процентов, в целях обеспечения указанными хозяйствующими субъектами </w:t>
            </w: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2017 году:</w:t>
            </w: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-снижение доли закупок товаров у «единственного поставщика»,</w:t>
            </w: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-увеличения среднего числа участников закупок для обеспечения государственных и муниципальных нужд в расчете на одну закупку. </w:t>
            </w: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гг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По итогам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проведенной работы в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2017 года:</w:t>
            </w: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-доля закупок  у СМСП увеличилась по сравнению с 2016 годом и со</w:t>
            </w:r>
            <w:r>
              <w:rPr>
                <w:rFonts w:ascii="Times New Roman" w:hAnsi="Times New Roman"/>
                <w:sz w:val="20"/>
                <w:szCs w:val="20"/>
              </w:rPr>
              <w:t>ставляет на 01.07.2017 года- 21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%</w:t>
            </w: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-среднее число участников закупок для обеспечения государственных и муниципальных нужд в расчете на одну закупку возросло по сравнению с предыдущим годом и со</w:t>
            </w:r>
            <w:r>
              <w:rPr>
                <w:rFonts w:ascii="Times New Roman" w:hAnsi="Times New Roman"/>
                <w:sz w:val="20"/>
                <w:szCs w:val="20"/>
              </w:rPr>
              <w:t>ставляет, по состоянию на 01.01.2018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года 2,8 единицы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Мероприятия, направленные на устранение избыточного муниципального регулирования и снижение административных барьеров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Проведение оценки регулирующего воздействия проектов нормативно-правовых актов с целью устранения избыточного муниципального регулирования, в т.ч. избыточных функций, и оптимизация государственного контроля и противодействие коррупции»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Принято постановление  администрации от 29.11.2016 года №1100 «Об утверждении порядков проведения оценки регулирующего воздействия и экспертизы  муниципальных нормативных правовых актов, затрагивающих вопросы осуществления предпринимательской и инвестиционной  деятельности».</w:t>
            </w: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 целью выявления мнений предпринимательского сообщества, выработки решений, направленных на снижение административных барьеров, на постоянной основе проводятся заседания  рабочей группы по основным направлениям деятельности, в том числе: внедрение стандарта развития конкуренции; подключение к инженерным сетям; улучшение инвестиционного климата; недвижимость и земельно-имущественные отношения.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DB18CF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Обеспечение возможности получения муниципальных услуг в электронном виде </w:t>
            </w:r>
          </w:p>
          <w:p w:rsidR="00ED1BDD" w:rsidRPr="00E17600" w:rsidRDefault="00ED1BDD" w:rsidP="003B395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Муниципальные услуги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в электронном виде оказывает МФЦ и 4 ТОСПа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(Тургенево,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Редкодубье, Октябрьский, Баево), 139 видов услуг, а также ЗАГС, архив, отдел имущества, а</w:t>
            </w:r>
            <w:r>
              <w:rPr>
                <w:rFonts w:ascii="Times New Roman" w:hAnsi="Times New Roman"/>
                <w:sz w:val="20"/>
                <w:szCs w:val="20"/>
              </w:rPr>
              <w:t>рхитектура.</w:t>
            </w: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За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2017 года оказано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28670 услуг, в том числе муниципальных -  4662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ED1BDD" w:rsidRPr="00E17600" w:rsidTr="003B3952">
        <w:trPr>
          <w:gridAfter w:val="9"/>
          <w:wAfter w:w="13871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работы по постановке на кадастровый учет выявленного недвижимого имущества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2017 году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выявлен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и поставлен</w:t>
            </w:r>
            <w:r>
              <w:rPr>
                <w:rFonts w:ascii="Times New Roman" w:hAnsi="Times New Roman"/>
                <w:sz w:val="20"/>
                <w:szCs w:val="20"/>
              </w:rPr>
              <w:t>о на кадастровый учет пять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/>
                <w:sz w:val="20"/>
                <w:szCs w:val="20"/>
              </w:rPr>
              <w:t>ов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Внесение имущества в реестр муниципального имущества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98173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81733">
              <w:rPr>
                <w:rFonts w:ascii="Times New Roman" w:hAnsi="Times New Roman"/>
                <w:sz w:val="20"/>
                <w:szCs w:val="20"/>
              </w:rPr>
              <w:t>Вносятся в порядке поступления документов о внесении имущества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Проведение инвентаризации неиспользуемого имущества, оценка необходимости приватизации  такого имущества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Разработан план  приватизации, который постоянно актуализируется.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4.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3B3952">
            <w:pPr>
              <w:pStyle w:val="NormalWeb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720A6C" w:rsidRDefault="00ED1BDD" w:rsidP="00945E1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0A6C">
              <w:rPr>
                <w:rFonts w:ascii="Times New Roman" w:hAnsi="Times New Roman"/>
                <w:sz w:val="20"/>
                <w:szCs w:val="20"/>
              </w:rPr>
              <w:t xml:space="preserve">В соответствии с распоряжением Правительства Российской Федерации в Ардатовском муниципальном районе проводится ежегодный мониторинг состояния и развития конкурентной среды на рынках товаров, работ и услуг. Мониторинг позволяет выявить ключевые факторы, ограничивающие развитие конкуренции на рынках района. Одним из способов проведения мониторинга является онлайн-анкетирование респондентов. Вопросы направлены на выявление административных барьеров и оценки состояния конкурентной среды предпринимателей; удовлетворенность потребителей качеством товаров и услуг; деятельностью унитарных предприятий; транспортным обслуживанием; качеством дорог; тепло-, водо-, электро-, газоснабжением.  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7A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ED1BDD" w:rsidRPr="00E17600" w:rsidRDefault="00ED1BDD" w:rsidP="007A41CE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bCs/>
                <w:sz w:val="20"/>
                <w:szCs w:val="20"/>
              </w:rPr>
              <w:t>поддержку научной, творческой и предпринимательской активности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  <w:shd w:val="clear" w:color="auto" w:fill="FFFFFF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 власти и бизнеса), организация советов малого и среднего бизнеса в органах местного самоуправления.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2017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году организациями инфраструктуры поддержки малого и среднего предпринимательства Ардатовско</w:t>
            </w:r>
            <w:r>
              <w:rPr>
                <w:rFonts w:ascii="Times New Roman" w:hAnsi="Times New Roman"/>
                <w:sz w:val="20"/>
                <w:szCs w:val="20"/>
              </w:rPr>
              <w:t>го муниципального района (АНО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«Региональный центр микрофинансирован</w:t>
            </w:r>
            <w:r>
              <w:rPr>
                <w:rFonts w:ascii="Times New Roman" w:hAnsi="Times New Roman"/>
                <w:sz w:val="20"/>
                <w:szCs w:val="20"/>
              </w:rPr>
              <w:t>ия РМ», МКК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«Фонд поддержки препринимательства РМ» гос</w:t>
            </w:r>
            <w:r>
              <w:rPr>
                <w:rFonts w:ascii="Times New Roman" w:hAnsi="Times New Roman"/>
                <w:sz w:val="20"/>
                <w:szCs w:val="20"/>
              </w:rPr>
              <w:t>ударственная поддержка оказана 9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ИП, информационно-консультац</w:t>
            </w:r>
            <w:r>
              <w:rPr>
                <w:rFonts w:ascii="Times New Roman" w:hAnsi="Times New Roman"/>
                <w:sz w:val="20"/>
                <w:szCs w:val="20"/>
              </w:rPr>
              <w:t>ионная поддержка предоставлена 2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20 субъектам малого предпринимательства и гражданам, желающим открыть собственный бизнес, в том числе 40 – консультаций,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80– консультаций по канал</w:t>
            </w:r>
            <w:r>
              <w:rPr>
                <w:rFonts w:ascii="Times New Roman" w:hAnsi="Times New Roman"/>
                <w:sz w:val="20"/>
                <w:szCs w:val="20"/>
              </w:rPr>
              <w:t>у «горячая линия», 750 – посетили сайты.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мероприятий, направленных на вовлечение молодых людей в предпринимательскую деятельность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целях вовлечения молодых людей в предпринимательскую деятельность в районе проводились конкурсы среди старшеклассников по предпринимательству, бизнес-игры, обучение основам предпринимательской деятельности</w:t>
            </w:r>
            <w:r>
              <w:rPr>
                <w:rFonts w:ascii="Times New Roman" w:hAnsi="Times New Roman"/>
                <w:sz w:val="20"/>
                <w:szCs w:val="20"/>
              </w:rPr>
              <w:t>; проведены обучающие семинары, тренинги по конкуренции; размещение  информационных мат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ериалов на сайте, в газете, информационных бюллетенях.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Расширение доступа предпринимателей к ресурсной базе (финансовой и имущественной) путем создания механизма предоставления муниципальной поддержки, обеспечение правовых, экономических и организационных условий эффективного развития малого и среднего предпринимательства, оказание консультативных, информационных, юридических услуг.  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720A6C">
            <w:pPr>
              <w:snapToGrid w:val="0"/>
              <w:spacing w:after="0" w:line="240" w:lineRule="auto"/>
              <w:ind w:firstLine="19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В целях оказания консультационной и методической поддержки хозяйствующим субъектам, осуществляющих торговую деятельность,  комитетом  совместно  с региональными  органами проводятся зональные семинары для представителей малого и среднего предпринимательства Ардатовского муниципального района, где освещаются вопросы практики применения действующего законодательства в сфере торговли и услуг, а также мерах государственной поддержки на развитие предпринимательской деятельности. </w:t>
            </w:r>
            <w:r>
              <w:rPr>
                <w:rFonts w:ascii="Times New Roman" w:hAnsi="Times New Roman"/>
                <w:sz w:val="20"/>
                <w:szCs w:val="20"/>
              </w:rPr>
              <w:t>Проведены обучающие мероприятия совместно с АНО «Центр поддержки предпринимательства РМ».</w:t>
            </w: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 отчетный период проведено 33 семинара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в городских и сельских поселениях района, где приняли участие более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500 хозяйствующих субъектов.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учреждений).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Обеспечение 100% доступности дошкольного образования детей в возрасте 3-7лет. Создание вариативных форм («Выездной воспитатель» - 5 групп, адаптационных групп- 1 группа, консультационных центров 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9, с целью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организации методической, психолого-педагогической, диагностической и консультационной помощи родителям (законным представителям) и обеспечение ранней социализации и адаптации детей раннего возраста (1,5-3лет) к поступлению в детский сад.</w:t>
            </w: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Для создания дополнительных мест, с целью обеспечения 100% доступности услугами дошкол</w:t>
            </w:r>
            <w:r>
              <w:rPr>
                <w:rFonts w:ascii="Times New Roman" w:hAnsi="Times New Roman"/>
                <w:sz w:val="20"/>
                <w:szCs w:val="20"/>
              </w:rPr>
              <w:t>ьного образования, в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2017 год</w:t>
            </w: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республиканским бюджетом выделено на завершение строительства детского сада г.Ардатов на 250 мест 18299 тыс.руб.</w:t>
            </w: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Мониторинг состояния удовлетворенности качеством дошкольного образования на рынке услуг дошкольного образования (в форме анкетирования) составляет 100%.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 программам. 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Услугами дополнительного образования предоставляемыми муниципальными организациями охвачено 80% детей Ардатовского муниципального района в возрасте от 5 до 18 лет. В настоящее время частных организаций, осуществляющих образовательную деятельность по дополнительным общеобразовательным программам не имеется в связи с отсутствием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заявок от частных физических лиц.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отдыха и оздоровления детей школьного возраста до 17 лет включительно, проживающих на территории района.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Повышение доступности, качества  отдыха и  оздоровления  детей- инвалидов, за счет увеличения количества выданных путевок в </w:t>
            </w:r>
            <w:r w:rsidRPr="00E17600">
              <w:rPr>
                <w:sz w:val="20"/>
                <w:szCs w:val="20"/>
                <w:shd w:val="clear" w:color="auto" w:fill="FFFFFF"/>
              </w:rPr>
              <w:t>санаторно-куротные, оздоровительные лагеря</w:t>
            </w:r>
            <w:r w:rsidRPr="00E17600">
              <w:rPr>
                <w:sz w:val="20"/>
                <w:szCs w:val="20"/>
              </w:rPr>
              <w:t xml:space="preserve">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оздоровления.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 2017 году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услугу от</w:t>
            </w:r>
            <w:r>
              <w:rPr>
                <w:rFonts w:ascii="Times New Roman" w:hAnsi="Times New Roman"/>
                <w:sz w:val="20"/>
                <w:szCs w:val="20"/>
              </w:rPr>
              <w:t>дыха и оздоровления получили 601 ребенок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школьного возраста до 17 лет, в том числе 30 детей за счет средств внебюджета. Впервые в 2017 году была реализована профильная смена спортивно-православной направленности.</w:t>
            </w: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 2017 году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14 детей-инвалидов получили услуги отдыха и оздоровления в лагерях соответствующего типа.</w:t>
            </w: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ED1BDD" w:rsidRPr="00E17600" w:rsidRDefault="00ED1BDD" w:rsidP="00720A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Cs/>
                <w:sz w:val="20"/>
                <w:szCs w:val="20"/>
              </w:rPr>
              <w:t>Результатом проведения мониторинга состояния конкурентной среды на рынке услуг детского отдыха и оздоровления стало увеличение ч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исленности детей в возрасте от 7 до 17 лет, отдохнувших в организациях отды</w:t>
            </w:r>
            <w:r>
              <w:rPr>
                <w:rFonts w:ascii="Times New Roman" w:hAnsi="Times New Roman"/>
                <w:sz w:val="20"/>
                <w:szCs w:val="20"/>
              </w:rPr>
              <w:t>ха детей и их оздоровления на 35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несовершеннолетних.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Развитие сектора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лет.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Обеспечения проведения обучающих мероприятий (семинаров, круглых столов) по вопросам развития конкуренции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Не реже 2-х раз в год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лет) на территории Ардатовского муниципального района не имеется.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медицинских услуг, в т.ч. для негосударственных медицинских организаций.</w:t>
            </w: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Содействие в проведении мониторинга состояния конкурентной среды на рынке медицинских услуг.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Default="00ED1BDD" w:rsidP="004100FF">
            <w:pPr>
              <w:tabs>
                <w:tab w:val="left" w:pos="339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Весь спектр медицинских услуг населению района осуществляет ГБУЗ РМ «Ардатовская районная больница». Из негосударственных медицинских учреждений в районе оказывают медицинскую помощь 2 частных стоматологических кабинета в 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Ардатов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ED1BDD" w:rsidRDefault="00ED1BDD" w:rsidP="004100FF">
            <w:pPr>
              <w:tabs>
                <w:tab w:val="left" w:pos="339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2017 год заработано 95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,0 млн.рублей доходов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ED1BDD" w:rsidRPr="00E17600" w:rsidRDefault="00ED1BDD" w:rsidP="004100FF">
            <w:pPr>
              <w:tabs>
                <w:tab w:val="left" w:pos="339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районной больнице имеется стационар на 65 кое</w:t>
            </w:r>
            <w:r>
              <w:rPr>
                <w:rFonts w:ascii="Times New Roman" w:hAnsi="Times New Roman"/>
                <w:sz w:val="20"/>
                <w:szCs w:val="20"/>
              </w:rPr>
              <w:t>к круглосуточного пребывания, 35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коек дневного стационара, реанимационное отделение на 6 коек, поликлиника на 625 посещений в смену, 31 фельдшерско-акушерский пункт, отделение скорой медицинской помощи. В стационаре имеется хирургическое отделение, терапевтическое отделение, паллиативное отделение, инфекционное отделение. Детям стационарное лечение проводится в терапевтическом отделении. Больные с гинекологическими заболеваниями получают лечение в хирургическом отделении.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Амбулаторная медицинская помощь осуществляется в поликлинике по следующим профилям: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терапия, хирургия, стоматология, эндокринология, психиатрия, наркология, болезни уха, горла и носа, дерматовенерология, глазные болезни, гинекология, педиатрия, урология, физиотерапия. При поликлинике функционируют: рентгеновский кабинет, кабинет функциональной диагностики, УЗИ-кабинет, кабинет ФГС, кабинет переливания крови, лаборатория.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Цент</w:t>
            </w:r>
            <w:r>
              <w:rPr>
                <w:rFonts w:ascii="Times New Roman" w:hAnsi="Times New Roman"/>
                <w:sz w:val="20"/>
                <w:szCs w:val="20"/>
              </w:rPr>
              <w:t>ром мониторинга РМ в апреле 2017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года проводился мониторинг состояния конкурентной среды на рынке медицинских услуг. Мониторинг проводился рабочей группой в составе 2 человек.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center"/>
              <w:rPr>
                <w:sz w:val="20"/>
                <w:szCs w:val="20"/>
              </w:rPr>
            </w:pPr>
            <w:r w:rsidRPr="00E17600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2.1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2.2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Развитие конкуренции в сфере социального обслуживания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Обеспечение реализации Плана меропритий по развитию конкуренции на рынке услуг социального обслуживания населения (приказ Минсоцзащиты Республики Мордовия от 31 декабря  2015 года № ОД 323).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Организация и проведение мониторинга  состояния конкурентной среды на рынке услуг социального обслуживания населения.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Привлечение частных (негосударственных) организаций и индивидуальных предпринимателей в сферу социального обслуживания населения района.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Обеспечение условий для проведения независимой оценки качества оказания услуг поставщиками в сфере социального обслуживания в соответствии с положениями статьи 7 Федерального закона от 21 июля 2014 г.№ 256-ФЗ 2О внесении изменений в отдельные законодательные акты Российской Федерации по вопросам проведения независимой оценки качества оказания услуг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С 01.11.2016 года на территории Ардатовского муниципального района осуществляет свою деятельность автономная некоммерческая организация социального обслуживания граждан «В</w:t>
            </w:r>
            <w:r>
              <w:rPr>
                <w:rFonts w:ascii="Times New Roman" w:hAnsi="Times New Roman"/>
                <w:sz w:val="20"/>
                <w:szCs w:val="20"/>
              </w:rPr>
              <w:t>еста» (АНО СОГ «Веста»).</w:t>
            </w:r>
          </w:p>
          <w:p w:rsidR="00ED1BDD" w:rsidRPr="00E17600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01.01. 2018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года пр</w:t>
            </w:r>
            <w:r>
              <w:rPr>
                <w:rFonts w:ascii="Times New Roman" w:hAnsi="Times New Roman"/>
                <w:sz w:val="20"/>
                <w:szCs w:val="20"/>
              </w:rPr>
              <w:t>едоставлено социальных услуг 381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гражда</w:t>
            </w:r>
            <w:r>
              <w:rPr>
                <w:rFonts w:ascii="Times New Roman" w:hAnsi="Times New Roman"/>
                <w:sz w:val="20"/>
                <w:szCs w:val="20"/>
              </w:rPr>
              <w:t>нину в количестве 112000.</w:t>
            </w:r>
          </w:p>
          <w:p w:rsidR="00ED1BDD" w:rsidRPr="00E17600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проводится</w:t>
            </w:r>
          </w:p>
          <w:p w:rsidR="00ED1BDD" w:rsidRPr="00E17600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С 01.11.2017 года  социальные услуги  по социальному обслуживанию населения переданы АНО СОГ «Веста».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Частных организаций в сфере социального обслуживания населения Ардатовского района нет.</w:t>
            </w:r>
          </w:p>
          <w:p w:rsidR="00ED1BDD" w:rsidRPr="00E17600" w:rsidRDefault="00ED1BDD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8.02.2017 года ГКУ РМ «Научный центр социально-экономического мониторинга» провел независимую оценку качества оказания услуг поставщиками в сфере социального обслуживания. Было охвачено  3  населенных пункта района, 21 обслуживаемый.  АНО СОГ «Веста»  созданы все условия для  качественного предоставления социальных услуг согласно Перечня предоставляемых социальный услуг и Государственного стандарта оказания социальных услуг. На отчетную дату социальные ус</w:t>
            </w:r>
            <w:r>
              <w:rPr>
                <w:rFonts w:ascii="Times New Roman" w:hAnsi="Times New Roman"/>
                <w:sz w:val="20"/>
                <w:szCs w:val="20"/>
              </w:rPr>
              <w:t>луги предоставлены 381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гражда</w:t>
            </w:r>
            <w:r>
              <w:rPr>
                <w:rFonts w:ascii="Times New Roman" w:hAnsi="Times New Roman"/>
                <w:sz w:val="20"/>
                <w:szCs w:val="20"/>
              </w:rPr>
              <w:t>нину в количестве 112000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законодательства.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 проведении мониторинга состояния конкурентной среды в сфере жилищно-коммунального хозяйства.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Администрацией района принято постановление</w:t>
            </w:r>
            <w:r>
              <w:rPr>
                <w:sz w:val="20"/>
                <w:szCs w:val="20"/>
              </w:rPr>
              <w:t xml:space="preserve">  №50 от 25.01.2017 года</w:t>
            </w:r>
            <w:r w:rsidRPr="00E17600">
              <w:rPr>
                <w:sz w:val="20"/>
                <w:szCs w:val="20"/>
              </w:rPr>
              <w:t xml:space="preserve"> </w:t>
            </w:r>
          </w:p>
          <w:p w:rsidR="00ED1BDD" w:rsidRPr="00E17600" w:rsidRDefault="00ED1BDD" w:rsidP="00DC4DB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b w:val="0"/>
                <w:color w:val="000000"/>
                <w:sz w:val="20"/>
                <w:szCs w:val="20"/>
              </w:rPr>
            </w:pPr>
            <w:r>
              <w:rPr>
                <w:rStyle w:val="Strong"/>
                <w:b w:val="0"/>
                <w:color w:val="000000"/>
                <w:sz w:val="20"/>
                <w:szCs w:val="20"/>
              </w:rPr>
              <w:t>«</w:t>
            </w: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>Об утверждении перечня объектов планируемых</w:t>
            </w:r>
          </w:p>
          <w:p w:rsidR="00ED1BDD" w:rsidRPr="00E17600" w:rsidRDefault="00ED1BDD" w:rsidP="00DC4DB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b w:val="0"/>
                <w:color w:val="000000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 xml:space="preserve"> к передаче по концессионному соглашению</w:t>
            </w:r>
            <w:r>
              <w:rPr>
                <w:rStyle w:val="Strong"/>
                <w:b w:val="0"/>
                <w:color w:val="000000"/>
                <w:sz w:val="20"/>
                <w:szCs w:val="20"/>
              </w:rPr>
              <w:t>»</w:t>
            </w: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 xml:space="preserve">. </w:t>
            </w:r>
          </w:p>
          <w:p w:rsidR="00ED1BDD" w:rsidRPr="00E17600" w:rsidRDefault="00ED1BDD" w:rsidP="00DC4DB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>Заключено концессионное соглашение на строительство двух модульных котельных в р.п.Тургенев</w:t>
            </w:r>
            <w:r>
              <w:rPr>
                <w:rStyle w:val="Strong"/>
                <w:b w:val="0"/>
                <w:color w:val="000000"/>
                <w:sz w:val="20"/>
                <w:szCs w:val="20"/>
              </w:rPr>
              <w:t>о, срок реализации проекта  2018 год.  П</w:t>
            </w: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>ланируется передача в концессию теплосетей, сетей водоснабжения и сетей водоотведения города Ардатов.</w:t>
            </w:r>
          </w:p>
          <w:p w:rsidR="00ED1BDD" w:rsidRPr="00E17600" w:rsidRDefault="00ED1BDD" w:rsidP="00DC4DB3">
            <w:pPr>
              <w:pStyle w:val="NormalWeb"/>
              <w:shd w:val="clear" w:color="auto" w:fill="FFFFFF"/>
              <w:spacing w:before="0" w:beforeAutospacing="0" w:after="75" w:afterAutospacing="0"/>
              <w:jc w:val="both"/>
              <w:rPr>
                <w:b/>
                <w:color w:val="333333"/>
                <w:sz w:val="20"/>
                <w:szCs w:val="20"/>
              </w:rPr>
            </w:pPr>
          </w:p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апреле текущего года проведен мониторинг состояния конкурентной среды в сфере жилищно-коммунального хозяйства центром мониторинга РМ. Мониторинг проведен рабочей группой в составе 2 человек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Создание условий для развития конкуренции на рынке розничной торговли.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Оказание содействия в организации и проведении ярмарок, с целью  предоставления населению возможности  приобретения  по доступным ценам продовольственных товаров, реализуемых непосредственно производителями сельскохозяйственной продукции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Инфраструктура торговой сети района на 01.01.2017г. представлена 312 предприятиями, в т.ч. 4 объекта нестационарной торговли, общей площадью 9733 кв.м. обеспеченность торговой площадью в расчете на 1000 человек составляет 379,7 кв.м.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Развитие конкуренции при осуществлении процедур муниципальных закупок.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</w:t>
            </w:r>
            <w:r w:rsidRPr="00E17600">
              <w:rPr>
                <w:sz w:val="20"/>
                <w:szCs w:val="20"/>
                <w:shd w:val="clear" w:color="auto" w:fill="FFFFFF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власти и бизнеса), организация советов малого и среднего бизнеса в органах местного самоуправления.</w:t>
            </w:r>
            <w:r w:rsidRPr="00E17600">
              <w:rPr>
                <w:sz w:val="20"/>
                <w:szCs w:val="20"/>
              </w:rPr>
              <w:t xml:space="preserve"> Расширение доступа предпринимателей к ресурсной базе (финансовой и имущественной) путем создания механизма предоставления муниципальной поддержки, обеспечение правовых, экономических и организационных условий эффективного развития малого и среднего предпринимательства, оказание консультативных, информационных, юридических услуг.  </w:t>
            </w: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Выдано три рекомендации по вопросам «Микрофинансирование малого и среднего предпринимательства»;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оказана консультационная поддержка 15 гражданам по вопросам поддержки предпринимательства.</w:t>
            </w: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целях обеспечения жителей муниципального района сельскохозяйственной продукцией и продукцией пищевых и перерабатывающих организаций республики по доступным ценам в районе предусмотрено проведение праздничных, тематических и ярмарок «выходно</w:t>
            </w:r>
            <w:r>
              <w:rPr>
                <w:rFonts w:ascii="Times New Roman" w:hAnsi="Times New Roman"/>
                <w:sz w:val="20"/>
                <w:szCs w:val="20"/>
              </w:rPr>
              <w:t>го дня». Проведено 15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ярмарок. </w:t>
            </w:r>
          </w:p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Также ведется еженедельный мониторинг розничных цен за состоянием рынка с/х продукции, сырья и продовольствия в разрезе торговых объектов различных форматов.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системы контроля за состоянием пассажирских перевозок, осуществляемых  перевозчиками  различных форм собственности, на уровне муниципалитета.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 в проведении мониторинга состояния конкурентной среды в сфере услуг перевозок пассажиров наземным транспортом.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Транспортные услуги населению оказыва</w:t>
            </w:r>
            <w:r>
              <w:rPr>
                <w:rFonts w:ascii="Times New Roman" w:hAnsi="Times New Roman"/>
                <w:sz w:val="20"/>
                <w:szCs w:val="20"/>
              </w:rPr>
              <w:t>ют ООО «АТП Ардатов», а так же 3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служба такси и индивидуальные предприниматели. За отчетный период о</w:t>
            </w:r>
            <w:r w:rsidRPr="00E17600">
              <w:rPr>
                <w:rFonts w:ascii="Times New Roman" w:hAnsi="Times New Roman"/>
                <w:bCs/>
                <w:sz w:val="20"/>
                <w:szCs w:val="20"/>
              </w:rPr>
              <w:t>бъем реализации платных услуг, оказанных предприятием, от пассаж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ирских перевозок составил 8600,0</w:t>
            </w:r>
            <w:r w:rsidRPr="00E17600">
              <w:rPr>
                <w:rFonts w:ascii="Times New Roman" w:hAnsi="Times New Roman"/>
                <w:bCs/>
                <w:sz w:val="20"/>
                <w:szCs w:val="20"/>
              </w:rPr>
              <w:t xml:space="preserve"> тыс.рублей, от грузовы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х перевозок 201</w:t>
            </w:r>
            <w:r w:rsidRPr="00E17600">
              <w:rPr>
                <w:rFonts w:ascii="Times New Roman" w:hAnsi="Times New Roman"/>
                <w:bCs/>
                <w:sz w:val="20"/>
                <w:szCs w:val="20"/>
              </w:rPr>
              <w:t xml:space="preserve">,2 тыс.рублей.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D1BDD" w:rsidRPr="00E17600" w:rsidRDefault="00ED1BDD" w:rsidP="00DC4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апреле 2017 году проведен конкурс на осуществление пассажирских услуг пригородного сообщения услуг. Конкурс выигран ООО «АТП Ардатов», с предприятием заключен контракт на осуществление пассажирских перевозок пригородного сообщения, определены маршруты, выдано свидетельство.</w:t>
            </w:r>
          </w:p>
          <w:p w:rsidR="00ED1BDD" w:rsidRPr="00E17600" w:rsidRDefault="00ED1BDD" w:rsidP="00DC4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Информация размещена на сайте.</w:t>
            </w:r>
          </w:p>
          <w:p w:rsidR="00ED1BDD" w:rsidRPr="00E17600" w:rsidRDefault="00ED1BDD" w:rsidP="00DC4DB3">
            <w:pPr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DC4DB3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Администрацией района проводится мониторинг состояния конкурентной среды в сфере услуг перевозок пассажиров наземным транспортом. 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Интернет.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2017 год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услугами широкополосного доступ</w:t>
            </w:r>
            <w:r>
              <w:rPr>
                <w:rFonts w:ascii="Times New Roman" w:hAnsi="Times New Roman"/>
                <w:sz w:val="20"/>
                <w:szCs w:val="20"/>
              </w:rPr>
              <w:t>а к сети Интернет обеспечено 335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домовладений.</w:t>
            </w:r>
          </w:p>
          <w:p w:rsidR="00ED1BDD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На территории Ардатовского района услугами широкополосного доступа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 сети Интернет обеспечено 5335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домовладений.</w:t>
            </w:r>
          </w:p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Услу</w:t>
            </w:r>
            <w:r>
              <w:rPr>
                <w:rFonts w:ascii="Times New Roman" w:hAnsi="Times New Roman"/>
                <w:sz w:val="20"/>
                <w:szCs w:val="20"/>
              </w:rPr>
              <w:t>ги оказывает ПАО «Ростелеком»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филиал в РМ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проведении мониторинга состояния конкурентной среды в сфере услуг связи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Мониторинг подключения к сети интернет проводится ежемесячно.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Развитие сектора негосударственных (немуниципальных) организаций в сфере культуры</w:t>
            </w:r>
            <w:r w:rsidRPr="00E17600">
              <w:rPr>
                <w:b/>
                <w:sz w:val="20"/>
                <w:szCs w:val="20"/>
              </w:rPr>
              <w:t>.</w:t>
            </w:r>
            <w:r w:rsidRPr="00E1760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2D0C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Ведется работа по выявлению заинтересованных лиц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</w:t>
            </w:r>
            <w:r w:rsidRPr="00E17600">
              <w:rPr>
                <w:sz w:val="20"/>
                <w:szCs w:val="20"/>
              </w:rPr>
              <w:t>реализации Плана мероприятий («дорожной карты») по развитию конкуренции в сфере культуры</w:t>
            </w:r>
            <w:r>
              <w:rPr>
                <w:sz w:val="20"/>
                <w:szCs w:val="20"/>
              </w:rPr>
              <w:t xml:space="preserve"> </w:t>
            </w:r>
            <w:r w:rsidRPr="00E17600">
              <w:rPr>
                <w:sz w:val="20"/>
                <w:szCs w:val="20"/>
              </w:rPr>
              <w:t>(приказ Минкультуры Республики Мордовия от 31 декабря 2015 года № 221),в т.ч.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33607">
              <w:rPr>
                <w:rFonts w:ascii="Times New Roman" w:hAnsi="Times New Roman"/>
                <w:sz w:val="20"/>
                <w:szCs w:val="20"/>
              </w:rPr>
              <w:t>В 2017 году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увеличение численности участников культурно-массовых мероприятий по сравнению с предыдущим годом увеличилось на 1,3 %, увеличение доли детей  привлекаемых к участию в творческой деятельности  на 9%. .Мероприятия по совершенствованию оплаты труда работников культуры в 2017 г. достигли – 91% - согласно «дорожной карте»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и проведение мониторинга состояния конкурентной среды в сфере культуры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Проводится  мониторинг состояния конкурентной среды в сфере культуры.</w:t>
            </w:r>
          </w:p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В мае текущего года проведен мониторинг оказания услуг учреждениями культуры. Мониторинг проведен рабочей группой в составе 2 человек.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частных детских школ  изобразительного искусства, хореографии и т.д.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настоящее время ведется выявление заинтересованных граждан по оказанию  услуг  в  данном направлении.  Гражданам оказывается необходимая консультационная и информационная поддержка.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Развитие сети центров культуры и досуга, социально-культурных и культурно-спортивных комплексов, с развитой инфраструктурой платных услуг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Совместно с действующими на территории Ардатовского муниципального района  частными структурами было показано населению более </w:t>
            </w:r>
            <w:r>
              <w:rPr>
                <w:rFonts w:ascii="Times New Roman" w:hAnsi="Times New Roman"/>
                <w:sz w:val="20"/>
                <w:szCs w:val="20"/>
              </w:rPr>
              <w:t>585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платных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программ</w:t>
            </w:r>
            <w:r>
              <w:rPr>
                <w:rFonts w:ascii="Times New Roman" w:hAnsi="Times New Roman"/>
                <w:sz w:val="20"/>
                <w:szCs w:val="20"/>
              </w:rPr>
              <w:t>, 102 киносеанса и заработано 291,0 руб.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Развитие новых видов и расширение традиционных видов услуг культуры, оказываемых учреждениями культуры разных форм собственности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течение года оказывалась помощь народному театру, общественной организации « Районное общество инвалидов», Совету ветеранов войны, труда и правоохранительных органов Совету женщин.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Обеспечение проведения обучающих мероприятий (семинаров, круглых столов) по вопросам содействия развития конкуренции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проведено более </w:t>
            </w: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семинаров, «круглых столов», в том числе 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по вопросам содействия развития конкуренции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D1BDD" w:rsidRPr="00E17600" w:rsidTr="003B3952">
        <w:trPr>
          <w:gridAfter w:val="9"/>
          <w:wAfter w:w="13871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7F6F58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7F6F58">
              <w:rPr>
                <w:sz w:val="20"/>
                <w:szCs w:val="20"/>
              </w:rPr>
              <w:t>Рост валовой продукции сельского хозяйства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течении периода реализации «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дорожной карты»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7F6F58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6F58">
              <w:rPr>
                <w:rFonts w:ascii="Times New Roman" w:hAnsi="Times New Roman"/>
                <w:sz w:val="20"/>
                <w:szCs w:val="20"/>
              </w:rPr>
              <w:t>На территории района созданы благоприятные условия  функционирования хозяйствующих субъектов, осуществляющих деятельность на рынке производства и переработки молок и способствующих развитию конкурентных отношений. Функционирует 16 организаций занимающихся производством молока. 2 предприятия осуществляют приемку и переработку молока.</w:t>
            </w:r>
          </w:p>
          <w:p w:rsidR="00ED1BDD" w:rsidRDefault="00ED1BDD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D1BDD" w:rsidRDefault="00ED1BDD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D1BDD" w:rsidRDefault="00ED1BDD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D1BDD" w:rsidRDefault="00ED1BDD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D1BDD" w:rsidRDefault="00ED1BDD" w:rsidP="00DC4DB3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6F5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 2017 год сельхозпредприятиями произведено молока 10,7 тыс. тонн. Объемы производства молока увеличились на 9,2 %. Объем закупок молока составил 8,9 тыс. тонн - прогноз выполнен на 101,4 %, темп роста-104%. </w:t>
            </w:r>
          </w:p>
          <w:p w:rsidR="00ED1BDD" w:rsidRDefault="00ED1BDD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D1BDD" w:rsidRDefault="00ED1BDD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D1BDD" w:rsidRDefault="00ED1BDD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D1BDD" w:rsidRPr="007F6F58" w:rsidRDefault="00ED1BDD" w:rsidP="00DC4DB3">
            <w:pPr>
              <w:pStyle w:val="NoSpacing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Рост валовой продукции сельского хозяйства составил 100 %.</w:t>
            </w:r>
          </w:p>
          <w:p w:rsidR="00ED1BDD" w:rsidRPr="007F6F58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  <w:r w:rsidRPr="00E17600">
              <w:rPr>
                <w:b/>
                <w:sz w:val="20"/>
                <w:szCs w:val="20"/>
              </w:rPr>
              <w:t xml:space="preserve">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Инфраструктура сети общественного питания представлена 36 ( в том числе 9 частной формы собственности) предприятиями площадью 6695 кв.м, в т.ч. 3186 кв.м площадью зала обслуживания. По общедоступной сети 16 предприятий (рост к 2016 году составил 3 ед.)  с количеством посадочных мест 752.</w:t>
            </w: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 строительства жилья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Обеспечение доступности информации о проведении процедуры отбора земельных участков, застройщиков, проектов жилищного строительства, в рамках  реализации подпрограммы «Обеспечение жильем молодых семей» Федеральной целевой программы     «Жилище» на 2011-2016 гг. и программы «Устойчивое развитие сельских территорий  Республики Мордовия» Активизация  работы по увеличению количества граждан, воспользовавшихся правом государственной поддержки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проведении мониторинга  состояния конкурентной  среды на рынке строительства жилья</w:t>
            </w:r>
            <w:r w:rsidRPr="00E1760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ED1BDD" w:rsidRPr="00E17600" w:rsidRDefault="00ED1BDD" w:rsidP="00DC4DB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Информация о проведении процедуры отбора земельных участков, застройщиков, проектов жилищного строительства, в рамках  реализации подпрограммы «Обеспечение жильем молодых семей» Федеральной целевой программы     «Жилище» на 2011-2016 гг. 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муниципальной </w:t>
            </w:r>
            <w:r w:rsidRPr="00981733">
              <w:rPr>
                <w:rFonts w:ascii="Times New Roman" w:hAnsi="Times New Roman"/>
                <w:sz w:val="20"/>
                <w:szCs w:val="20"/>
              </w:rPr>
              <w:t xml:space="preserve"> программ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Pr="00981733">
              <w:rPr>
                <w:rFonts w:ascii="Times New Roman" w:hAnsi="Times New Roman"/>
                <w:caps/>
                <w:sz w:val="20"/>
                <w:szCs w:val="20"/>
              </w:rPr>
              <w:t xml:space="preserve"> </w:t>
            </w:r>
            <w:r w:rsidRPr="00981733">
              <w:rPr>
                <w:rFonts w:ascii="Times New Roman" w:hAnsi="Times New Roman"/>
                <w:sz w:val="20"/>
                <w:szCs w:val="20"/>
              </w:rPr>
              <w:t>развития сельского хозяйства и регулирования рынков сельскохозяйственной продукции, сырья и продовольствия  Ардатовского муниципального района</w:t>
            </w:r>
            <w:r w:rsidRPr="00981733">
              <w:rPr>
                <w:rFonts w:ascii="Times New Roman" w:hAnsi="Times New Roman"/>
                <w:szCs w:val="28"/>
              </w:rPr>
              <w:t xml:space="preserve"> </w:t>
            </w:r>
            <w:r w:rsidRPr="00981733">
              <w:rPr>
                <w:rFonts w:ascii="Times New Roman" w:hAnsi="Times New Roman"/>
                <w:sz w:val="20"/>
                <w:szCs w:val="20"/>
              </w:rPr>
              <w:t>Республики Мордовия на 2013–2020 годы</w:t>
            </w:r>
            <w:r>
              <w:rPr>
                <w:rFonts w:ascii="Times New Roman" w:hAnsi="Times New Roman"/>
                <w:sz w:val="20"/>
                <w:szCs w:val="20"/>
              </w:rPr>
              <w:t>, под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программы «Устойчивое развитие сельских территорий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Ардатовского муниципального района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Республик</w:t>
            </w:r>
            <w:r>
              <w:rPr>
                <w:rFonts w:ascii="Times New Roman" w:hAnsi="Times New Roman"/>
                <w:sz w:val="20"/>
                <w:szCs w:val="20"/>
              </w:rPr>
              <w:t>и Мордовия» размещена на сайте А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рдатовского района, в муниципальном вестнике, в районной газете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Маяк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.  В  Ардатовском муниципальном районе ведется работа по созданию условий для развития строительства, в том числе индивидуального жилищного.  В связи с потребностью земельных участков под строительство индивидуальных  жилых домов сформировано 66 земе</w:t>
            </w:r>
            <w:r>
              <w:rPr>
                <w:rFonts w:ascii="Times New Roman" w:hAnsi="Times New Roman"/>
                <w:sz w:val="20"/>
                <w:szCs w:val="20"/>
              </w:rPr>
              <w:t>льных участок общей площадью 7,9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гектаров и в стадии оформления земельные участки – 11,6 и 17,3 га в восточной части города Ардатов. Параллельно застройке планируется провести инженерные сети газоснабжения, водоснабжения, электроснабжения. Площадь земельных участков, предоставленных для строительства в 2016 году составляет  1,02 га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За 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2017 года введено в эксплу</w:t>
            </w:r>
            <w:r>
              <w:rPr>
                <w:rFonts w:ascii="Times New Roman" w:hAnsi="Times New Roman"/>
                <w:sz w:val="20"/>
                <w:szCs w:val="20"/>
              </w:rPr>
              <w:t>атацию 6472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кв. м. жилья. Прогноз по вводу жилья в эксплуатацию выполнен на 102,7 процента.</w:t>
            </w:r>
          </w:p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проводится</w:t>
            </w:r>
          </w:p>
        </w:tc>
      </w:tr>
      <w:tr w:rsidR="00ED1BDD" w:rsidRPr="00E17600" w:rsidTr="003B3952">
        <w:trPr>
          <w:gridAfter w:val="9"/>
          <w:wAfter w:w="13871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1BDD" w:rsidRPr="00E17600" w:rsidTr="00D867C6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ED1BDD" w:rsidRDefault="00ED1BDD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/>
                <w:sz w:val="20"/>
                <w:szCs w:val="20"/>
              </w:rPr>
            </w:pPr>
          </w:p>
          <w:p w:rsidR="00ED1BDD" w:rsidRDefault="00ED1BDD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/>
                <w:sz w:val="20"/>
                <w:szCs w:val="20"/>
              </w:rPr>
            </w:pPr>
          </w:p>
          <w:p w:rsidR="00ED1BDD" w:rsidRPr="00E17600" w:rsidRDefault="00ED1BDD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Cs/>
                <w:iCs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  <w:lang w:val="en-US"/>
              </w:rPr>
              <w:t>IV</w:t>
            </w:r>
            <w:r w:rsidRPr="00E17600">
              <w:rPr>
                <w:b/>
                <w:sz w:val="20"/>
                <w:szCs w:val="20"/>
              </w:rPr>
              <w:t>. Развитие инвестиционной деятельности</w:t>
            </w:r>
          </w:p>
        </w:tc>
        <w:tc>
          <w:tcPr>
            <w:tcW w:w="1214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87" w:type="dxa"/>
            <w:gridSpan w:val="4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D867C6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            1.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Cs/>
                <w:iCs/>
                <w:sz w:val="20"/>
                <w:szCs w:val="20"/>
              </w:rPr>
            </w:pPr>
            <w:r w:rsidRPr="00E17600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числе:</w:t>
            </w:r>
          </w:p>
          <w:p w:rsidR="00ED1BDD" w:rsidRPr="00E17600" w:rsidRDefault="00ED1BDD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1214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887" w:type="dxa"/>
            <w:gridSpan w:val="4"/>
            <w:tcBorders>
              <w:right w:val="single" w:sz="4" w:space="0" w:color="auto"/>
            </w:tcBorders>
          </w:tcPr>
          <w:p w:rsidR="00ED1BDD" w:rsidRDefault="00ED1BDD" w:rsidP="00DC4DB3">
            <w:pPr>
              <w:shd w:val="clear" w:color="auto" w:fill="FFFFFF"/>
              <w:suppressAutoHyphens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области совершенствования правового регулирования инвестиционной деятельности разработаны и утверждены документы стратегического планирования: прогноз социально-экономического развития Ардатовского муниципального района на 2017 год и на период до 2019 года, прогнозы социально-экономического развития городских и сельских поселений; 17 муниципальных программ Ардатовского муниципального района,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том числе: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«Комплексного социально-экономического развития Ардатовского муниципально</w:t>
            </w:r>
            <w:r>
              <w:rPr>
                <w:rFonts w:ascii="Times New Roman" w:hAnsi="Times New Roman"/>
                <w:sz w:val="20"/>
                <w:szCs w:val="20"/>
              </w:rPr>
              <w:t>го района на 2015-2020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гг.(актуализирована),</w:t>
            </w:r>
            <w:r>
              <w:rPr>
                <w:b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муниципальная </w:t>
            </w:r>
            <w:r w:rsidRPr="00981733">
              <w:rPr>
                <w:rFonts w:ascii="Times New Roman" w:hAnsi="Times New Roman"/>
                <w:sz w:val="20"/>
                <w:szCs w:val="20"/>
              </w:rPr>
              <w:t xml:space="preserve"> программ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981733">
              <w:rPr>
                <w:rFonts w:ascii="Times New Roman" w:hAnsi="Times New Roman"/>
                <w:caps/>
                <w:sz w:val="20"/>
                <w:szCs w:val="20"/>
              </w:rPr>
              <w:t xml:space="preserve"> </w:t>
            </w:r>
            <w:r w:rsidRPr="00981733">
              <w:rPr>
                <w:rFonts w:ascii="Times New Roman" w:hAnsi="Times New Roman"/>
                <w:sz w:val="20"/>
                <w:szCs w:val="20"/>
              </w:rPr>
              <w:t>развития сельского хозяйства и регулирования рынков сельскохозяйственной продукции, сырья и продовольствия  Ардатовского муниципального района</w:t>
            </w:r>
            <w:r w:rsidRPr="00981733">
              <w:rPr>
                <w:rFonts w:ascii="Times New Roman" w:hAnsi="Times New Roman"/>
                <w:szCs w:val="28"/>
              </w:rPr>
              <w:t xml:space="preserve"> </w:t>
            </w:r>
            <w:r w:rsidRPr="00981733">
              <w:rPr>
                <w:rFonts w:ascii="Times New Roman" w:hAnsi="Times New Roman"/>
                <w:sz w:val="20"/>
                <w:szCs w:val="20"/>
              </w:rPr>
              <w:t>Республики Мордовия на 2013–2020 годы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(актуализирована),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также « КИП пгт.Тургенево на 2010-2020гг.» (актуализирован), программы Устойчивого развития сельских территорий поселений Ардатовского муниципального района на 2014-2017гг.».</w:t>
            </w:r>
          </w:p>
          <w:p w:rsidR="00ED1BDD" w:rsidRPr="00E17600" w:rsidRDefault="00ED1BDD" w:rsidP="00DC4DB3">
            <w:pPr>
              <w:shd w:val="clear" w:color="auto" w:fill="FFFFFF"/>
              <w:suppressAutoHyphens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2017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году проведен анализ правовых актов администрации Ардатовского муниципального района, регламентирующих инвестиционную деятельность на территории Ардатовского муниципального района, в том числе в части реализации инвестиционных проектов на принципах государственного-частного партнерства на предмет соответствия нормативных актов действующему законодательству РФ.</w:t>
            </w:r>
          </w:p>
          <w:p w:rsidR="00ED1BDD" w:rsidRPr="00E17600" w:rsidRDefault="00ED1BDD" w:rsidP="00DC4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Создан Совет по улучшению инвестиционного климата в Ардатовском муниципальном районе Республики Мордовия (постановление Администрации Ардатовского муниципального района от 15.05.2015г. №451). Ежеквартально проводятся заседания Совета. Заседания проводились в рамках «</w:t>
            </w:r>
            <w:r>
              <w:rPr>
                <w:rFonts w:ascii="Times New Roman" w:hAnsi="Times New Roman"/>
                <w:sz w:val="20"/>
                <w:szCs w:val="20"/>
              </w:rPr>
              <w:t>круглых столов». За  2017 год проведено 4  заседания. (11-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с момента создания).</w:t>
            </w:r>
          </w:p>
          <w:p w:rsidR="00ED1BDD" w:rsidRPr="00E17600" w:rsidRDefault="00ED1BDD" w:rsidP="00D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Предприятия и организации района, по мере поступления предложений, участвуют в республиканских  выставках, ярмарках и заседаниях «круглого стола». </w:t>
            </w:r>
          </w:p>
        </w:tc>
      </w:tr>
      <w:tr w:rsidR="00ED1BDD" w:rsidRPr="00E17600" w:rsidTr="00D867C6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Инвестиционная Стратегия  муниципального района (отдельный раздел по инвестиционной деятельности в Программе социально экономического  развития муниципального района)* </w:t>
            </w:r>
          </w:p>
        </w:tc>
        <w:tc>
          <w:tcPr>
            <w:tcW w:w="1214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2017-2022 годы</w:t>
            </w:r>
          </w:p>
        </w:tc>
        <w:tc>
          <w:tcPr>
            <w:tcW w:w="4887" w:type="dxa"/>
            <w:gridSpan w:val="4"/>
            <w:tcBorders>
              <w:right w:val="single" w:sz="4" w:space="0" w:color="auto"/>
            </w:tcBorders>
          </w:tcPr>
          <w:p w:rsidR="00ED1BDD" w:rsidRDefault="00ED1BDD" w:rsidP="00DD532D">
            <w:pPr>
              <w:spacing w:after="0" w:line="240" w:lineRule="auto"/>
              <w:jc w:val="both"/>
              <w:rPr>
                <w:rStyle w:val="Strong"/>
                <w:rFonts w:ascii="Times New Roman" w:hAnsi="Times New Roman"/>
                <w:b w:val="0"/>
                <w:color w:val="333333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Разработана и утверждена </w:t>
            </w:r>
            <w:r w:rsidRPr="00E17600">
              <w:rPr>
                <w:rStyle w:val="Strong"/>
                <w:rFonts w:ascii="Times New Roman" w:hAnsi="Times New Roman"/>
                <w:b w:val="0"/>
                <w:color w:val="333333"/>
                <w:sz w:val="20"/>
                <w:szCs w:val="20"/>
              </w:rPr>
              <w:t>Инвестиционная стратегия  Ардатовского муниципального района Республики Мордовия</w:t>
            </w: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E17600">
              <w:rPr>
                <w:rStyle w:val="Strong"/>
                <w:rFonts w:ascii="Times New Roman" w:hAnsi="Times New Roman"/>
                <w:b w:val="0"/>
                <w:color w:val="333333"/>
                <w:sz w:val="20"/>
                <w:szCs w:val="20"/>
              </w:rPr>
              <w:t>до 2022г.</w:t>
            </w:r>
          </w:p>
          <w:p w:rsidR="00ED1BDD" w:rsidRPr="00E17600" w:rsidRDefault="00ED1BDD" w:rsidP="00DD532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Style w:val="Strong"/>
                <w:rFonts w:ascii="Times New Roman" w:hAnsi="Times New Roman"/>
                <w:b w:val="0"/>
                <w:color w:val="333333"/>
                <w:sz w:val="20"/>
                <w:szCs w:val="20"/>
              </w:rPr>
              <w:t xml:space="preserve"> Постановление администрации Ардатовского муниципального района № 63 от 1.02.2017 года</w:t>
            </w:r>
          </w:p>
        </w:tc>
      </w:tr>
      <w:tr w:rsidR="00ED1BDD" w:rsidRPr="00E17600" w:rsidTr="00D867C6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  <w:tcBorders>
              <w:bottom w:val="nil"/>
            </w:tcBorders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214" w:type="dxa"/>
            <w:tcBorders>
              <w:bottom w:val="nil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12 февраля ежегодно</w:t>
            </w:r>
          </w:p>
        </w:tc>
        <w:tc>
          <w:tcPr>
            <w:tcW w:w="4887" w:type="dxa"/>
            <w:gridSpan w:val="4"/>
            <w:tcBorders>
              <w:bottom w:val="nil"/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течени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  <w:tr w:rsidR="00ED1BDD" w:rsidRPr="00E17600" w:rsidTr="00D867C6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  <w:tcBorders>
              <w:bottom w:val="nil"/>
            </w:tcBorders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bottom w:val="nil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По мере обращения</w:t>
            </w:r>
          </w:p>
        </w:tc>
        <w:tc>
          <w:tcPr>
            <w:tcW w:w="4887" w:type="dxa"/>
            <w:gridSpan w:val="4"/>
            <w:tcBorders>
              <w:bottom w:val="nil"/>
              <w:right w:val="single" w:sz="4" w:space="0" w:color="auto"/>
            </w:tcBorders>
          </w:tcPr>
          <w:p w:rsidR="00ED1BDD" w:rsidRPr="00E17600" w:rsidRDefault="00ED1BDD" w:rsidP="004100FF">
            <w:pPr>
              <w:shd w:val="clear" w:color="auto" w:fill="FFFFFF"/>
              <w:spacing w:line="240" w:lineRule="auto"/>
              <w:ind w:left="-56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7C6">
              <w:rPr>
                <w:rFonts w:ascii="Times New Roman" w:hAnsi="Times New Roman"/>
                <w:sz w:val="18"/>
                <w:szCs w:val="18"/>
              </w:rPr>
              <w:t>Готовится пакет документов : заключение о результатах проверки инвестиционного проекта,</w:t>
            </w:r>
            <w:r w:rsidRPr="00D867C6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867C6">
              <w:rPr>
                <w:rFonts w:ascii="Times New Roman" w:hAnsi="Times New Roman"/>
                <w:sz w:val="18"/>
                <w:szCs w:val="18"/>
              </w:rPr>
              <w:t xml:space="preserve">обоснование экономической целесообразности, объема и сроков осуществления капитальных вложений, </w:t>
            </w:r>
            <w:r w:rsidRPr="00D867C6">
              <w:rPr>
                <w:rFonts w:ascii="Times New Roman" w:hAnsi="Times New Roman"/>
                <w:bCs/>
                <w:sz w:val="18"/>
                <w:szCs w:val="18"/>
              </w:rPr>
              <w:t xml:space="preserve">оценка соответствия инвестиционного проекта количественным критериям, </w:t>
            </w:r>
            <w:r w:rsidRPr="00D867C6">
              <w:rPr>
                <w:rFonts w:ascii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 xml:space="preserve"> </w:t>
            </w:r>
            <w:r w:rsidRPr="00D867C6">
              <w:rPr>
                <w:rFonts w:ascii="Times New Roman" w:hAnsi="Times New Roman"/>
                <w:bCs/>
                <w:color w:val="000000"/>
                <w:spacing w:val="-2"/>
                <w:sz w:val="18"/>
                <w:szCs w:val="18"/>
              </w:rPr>
              <w:t xml:space="preserve">паспорт </w:t>
            </w:r>
            <w:r w:rsidRPr="00D867C6">
              <w:rPr>
                <w:rFonts w:ascii="Times New Roman" w:hAnsi="Times New Roman"/>
                <w:bCs/>
                <w:color w:val="000000"/>
                <w:spacing w:val="-1"/>
                <w:sz w:val="18"/>
                <w:szCs w:val="18"/>
              </w:rPr>
              <w:t>инвестиционного проекта, представляемого для проведения проверки</w:t>
            </w:r>
            <w:r w:rsidRPr="00E17600">
              <w:rPr>
                <w:rFonts w:ascii="Times New Roman" w:hAnsi="Times New Roman"/>
                <w:bCs/>
                <w:color w:val="000000"/>
                <w:spacing w:val="-1"/>
                <w:sz w:val="20"/>
                <w:szCs w:val="20"/>
              </w:rPr>
              <w:t>.</w:t>
            </w:r>
          </w:p>
          <w:p w:rsidR="00ED1BDD" w:rsidRPr="00E17600" w:rsidRDefault="00ED1BDD" w:rsidP="004100F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1BDD" w:rsidRPr="00E17600" w:rsidTr="00D867C6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97" w:type="dxa"/>
            <w:gridSpan w:val="3"/>
            <w:tcBorders>
              <w:top w:val="nil"/>
            </w:tcBorders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</w:tc>
        <w:tc>
          <w:tcPr>
            <w:tcW w:w="1214" w:type="dxa"/>
            <w:tcBorders>
              <w:top w:val="nil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887" w:type="dxa"/>
            <w:gridSpan w:val="4"/>
            <w:tcBorders>
              <w:top w:val="nil"/>
              <w:right w:val="single" w:sz="4" w:space="0" w:color="auto"/>
            </w:tcBorders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1 октября текущего года</w:t>
            </w:r>
          </w:p>
        </w:tc>
      </w:tr>
      <w:tr w:rsidR="00ED1BDD" w:rsidRPr="00E17600" w:rsidTr="00D867C6">
        <w:trPr>
          <w:gridAfter w:val="1"/>
          <w:wAfter w:w="2673" w:type="dxa"/>
        </w:trPr>
        <w:tc>
          <w:tcPr>
            <w:tcW w:w="817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97" w:type="dxa"/>
            <w:gridSpan w:val="3"/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ED1BDD" w:rsidRPr="00E17600" w:rsidRDefault="00ED1BDD" w:rsidP="004100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на  официальном сайте администрации муниципального  образования </w:t>
            </w:r>
          </w:p>
        </w:tc>
        <w:tc>
          <w:tcPr>
            <w:tcW w:w="1214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поступления</w:t>
            </w:r>
          </w:p>
        </w:tc>
        <w:tc>
          <w:tcPr>
            <w:tcW w:w="4887" w:type="dxa"/>
            <w:gridSpan w:val="4"/>
            <w:tcBorders>
              <w:right w:val="single" w:sz="4" w:space="0" w:color="auto"/>
            </w:tcBorders>
          </w:tcPr>
          <w:p w:rsidR="00ED1BDD" w:rsidRPr="00E17600" w:rsidRDefault="00ED1BDD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    Публикация  информации в СМИ,  на  официальном сайте администрации Ардатовского муниципального  района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4688" w:type="dxa"/>
            <w:gridSpan w:val="10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E1760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</w:t>
            </w: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Pr="00E17600">
              <w:rPr>
                <w:rFonts w:ascii="Times New Roman" w:hAnsi="Times New Roman"/>
                <w:b/>
                <w:bCs/>
                <w:sz w:val="20"/>
                <w:szCs w:val="20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ED1BDD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36"/>
        </w:trPr>
        <w:tc>
          <w:tcPr>
            <w:tcW w:w="828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40" w:type="dxa"/>
          </w:tcPr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Реализация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 - частного партнерства, в т.ч. посредством заключения концессионного соглашения, с обязательством сохранения целевого назначения и использования объекта в одной или нескольких из сфер (ЖКХ, дошкольного образования, детского отдыха и оздоровления, здравоохранения, социального обслуживания, культуры и т.д.)</w:t>
            </w:r>
          </w:p>
        </w:tc>
        <w:tc>
          <w:tcPr>
            <w:tcW w:w="1620" w:type="dxa"/>
            <w:gridSpan w:val="4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500" w:type="dxa"/>
          </w:tcPr>
          <w:p w:rsidR="00ED1BDD" w:rsidRPr="00E17600" w:rsidRDefault="00ED1BDD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Администрацией района принято постановление </w:t>
            </w:r>
          </w:p>
          <w:p w:rsidR="00ED1BDD" w:rsidRPr="00E17600" w:rsidRDefault="00ED1BDD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color w:val="000000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>Об утверждении перечня объектов планируемых</w:t>
            </w:r>
          </w:p>
          <w:p w:rsidR="00ED1BDD" w:rsidRPr="00E17600" w:rsidRDefault="00ED1BDD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color w:val="000000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 xml:space="preserve"> к передаче по концессионному соглашению. </w:t>
            </w:r>
          </w:p>
          <w:p w:rsidR="00ED1BDD" w:rsidRPr="00E17600" w:rsidRDefault="00ED1BDD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>Заключено концессионное соглашение на строительство двух модульных котельных в р.п.Тургенев</w:t>
            </w:r>
            <w:r>
              <w:rPr>
                <w:rStyle w:val="Strong"/>
                <w:b w:val="0"/>
                <w:color w:val="000000"/>
                <w:sz w:val="20"/>
                <w:szCs w:val="20"/>
              </w:rPr>
              <w:t>о, срок реализации проекта  2018 год</w:t>
            </w: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>.</w:t>
            </w:r>
          </w:p>
          <w:p w:rsidR="00ED1BDD" w:rsidRPr="00E17600" w:rsidRDefault="00ED1BDD" w:rsidP="004100FF">
            <w:pPr>
              <w:pStyle w:val="NormalWeb"/>
              <w:shd w:val="clear" w:color="auto" w:fill="FFFFFF"/>
              <w:spacing w:before="0" w:beforeAutospacing="0" w:after="75" w:afterAutospacing="0"/>
              <w:rPr>
                <w:b/>
                <w:color w:val="333333"/>
                <w:sz w:val="20"/>
                <w:szCs w:val="20"/>
              </w:rPr>
            </w:pP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36"/>
        </w:trPr>
        <w:tc>
          <w:tcPr>
            <w:tcW w:w="828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40" w:type="dxa"/>
          </w:tcPr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Актуализация Плана мероприятий («дорожной карты») Ардатовского муниципального района по содействию развитию конкуренции в Республике Мордовия</w:t>
            </w:r>
          </w:p>
        </w:tc>
        <w:tc>
          <w:tcPr>
            <w:tcW w:w="1620" w:type="dxa"/>
            <w:gridSpan w:val="4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В соответствии с планом графиком</w:t>
            </w:r>
          </w:p>
        </w:tc>
        <w:tc>
          <w:tcPr>
            <w:tcW w:w="4500" w:type="dxa"/>
          </w:tcPr>
          <w:p w:rsidR="00ED1BDD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Актуализирован.  </w:t>
            </w:r>
          </w:p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Постановление администрации Ардатовского муниципального района № 6 от 9 января 2017 года</w:t>
            </w:r>
          </w:p>
        </w:tc>
        <w:tc>
          <w:tcPr>
            <w:tcW w:w="2700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36"/>
        </w:trPr>
        <w:tc>
          <w:tcPr>
            <w:tcW w:w="828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40" w:type="dxa"/>
          </w:tcPr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Формирование отчета о выполнении Плана мероприятий («дорожной карты») Ардатовского муниципального района по содействию развитию конкуренции в Республике Мордовия за 2016 г. до 25.01.2017г.</w:t>
            </w:r>
          </w:p>
        </w:tc>
        <w:tc>
          <w:tcPr>
            <w:tcW w:w="1620" w:type="dxa"/>
            <w:gridSpan w:val="4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4500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2700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36"/>
        </w:trPr>
        <w:tc>
          <w:tcPr>
            <w:tcW w:w="828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40" w:type="dxa"/>
          </w:tcPr>
          <w:p w:rsidR="00ED1BDD" w:rsidRPr="00E17600" w:rsidRDefault="00ED1BDD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620" w:type="dxa"/>
            <w:gridSpan w:val="4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соответствии с планом графиком</w:t>
            </w:r>
          </w:p>
        </w:tc>
        <w:tc>
          <w:tcPr>
            <w:tcW w:w="4500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соответствии с планом графиком</w:t>
            </w:r>
          </w:p>
        </w:tc>
        <w:tc>
          <w:tcPr>
            <w:tcW w:w="2700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D1BDD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36"/>
        </w:trPr>
        <w:tc>
          <w:tcPr>
            <w:tcW w:w="828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40" w:type="dxa"/>
          </w:tcPr>
          <w:p w:rsidR="00ED1BDD" w:rsidRPr="00E17600" w:rsidRDefault="00ED1BDD" w:rsidP="004100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pacing w:val="4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620" w:type="dxa"/>
            <w:gridSpan w:val="4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00" w:type="dxa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Оказывается содействие в проведении мониторинга удовлетворенности. Мониторинг проведен в апреле т.г  рабочей группой  Центра мониторинга РМ в составе 2 человек</w:t>
            </w:r>
          </w:p>
        </w:tc>
        <w:tc>
          <w:tcPr>
            <w:tcW w:w="2700" w:type="dxa"/>
            <w:gridSpan w:val="2"/>
          </w:tcPr>
          <w:p w:rsidR="00ED1BDD" w:rsidRPr="00E17600" w:rsidRDefault="00ED1BDD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ED1BDD" w:rsidRPr="00E17600" w:rsidRDefault="00ED1BDD">
      <w:pPr>
        <w:rPr>
          <w:rFonts w:ascii="Times New Roman" w:hAnsi="Times New Roman"/>
          <w:sz w:val="20"/>
          <w:szCs w:val="20"/>
        </w:rPr>
      </w:pPr>
      <w:r w:rsidRPr="00E17600">
        <w:rPr>
          <w:rFonts w:ascii="Times New Roman" w:hAnsi="Times New Roman"/>
          <w:sz w:val="20"/>
          <w:szCs w:val="20"/>
        </w:rPr>
        <w:br w:type="textWrapping" w:clear="all"/>
      </w:r>
    </w:p>
    <w:p w:rsidR="00ED1BDD" w:rsidRPr="00E17600" w:rsidRDefault="00ED1BDD" w:rsidP="000E0AE8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sectPr w:rsidR="00ED1BDD" w:rsidRPr="00E17600" w:rsidSect="000A3157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BDD" w:rsidRDefault="00ED1BDD" w:rsidP="00FE4BE9">
      <w:pPr>
        <w:spacing w:after="0" w:line="240" w:lineRule="auto"/>
      </w:pPr>
      <w:r>
        <w:separator/>
      </w:r>
    </w:p>
  </w:endnote>
  <w:endnote w:type="continuationSeparator" w:id="1">
    <w:p w:rsidR="00ED1BDD" w:rsidRDefault="00ED1BDD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BDD" w:rsidRPr="00172669" w:rsidRDefault="00ED1BDD" w:rsidP="00646C4B">
    <w:pPr>
      <w:pStyle w:val="Footer"/>
      <w:rPr>
        <w:rFonts w:ascii="Times New Roman" w:hAnsi="Times New Roman"/>
        <w:sz w:val="24"/>
        <w:szCs w:val="24"/>
      </w:rPr>
    </w:pPr>
    <w:r w:rsidRPr="00172669">
      <w:rPr>
        <w:rFonts w:ascii="Times New Roman" w:hAnsi="Times New Roman"/>
        <w:sz w:val="24"/>
        <w:szCs w:val="24"/>
      </w:rPr>
      <w:t>*Смотри методические рекомендации</w:t>
    </w:r>
  </w:p>
  <w:p w:rsidR="00ED1BDD" w:rsidRDefault="00ED1BD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BDD" w:rsidRPr="00172669" w:rsidRDefault="00ED1BDD" w:rsidP="009E0AE2">
    <w:pPr>
      <w:pStyle w:val="Footer"/>
      <w:tabs>
        <w:tab w:val="clear" w:pos="4677"/>
        <w:tab w:val="clear" w:pos="9355"/>
        <w:tab w:val="left" w:pos="5780"/>
      </w:tabs>
      <w:rPr>
        <w:rFonts w:ascii="Times New Roman" w:hAnsi="Times New Roman"/>
        <w:sz w:val="24"/>
        <w:szCs w:val="24"/>
      </w:rPr>
    </w:pPr>
    <w:r w:rsidRPr="00172669">
      <w:rPr>
        <w:rFonts w:ascii="Times New Roman" w:hAnsi="Times New Roman"/>
        <w:sz w:val="24"/>
        <w:szCs w:val="24"/>
      </w:rPr>
      <w:t>*Смотри методические рекомендации</w:t>
    </w:r>
    <w:r>
      <w:rPr>
        <w:rFonts w:ascii="Times New Roman" w:hAnsi="Times New Roman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BDD" w:rsidRDefault="00ED1BDD" w:rsidP="00FE4BE9">
      <w:pPr>
        <w:spacing w:after="0" w:line="240" w:lineRule="auto"/>
      </w:pPr>
      <w:r>
        <w:separator/>
      </w:r>
    </w:p>
  </w:footnote>
  <w:footnote w:type="continuationSeparator" w:id="1">
    <w:p w:rsidR="00ED1BDD" w:rsidRDefault="00ED1BDD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0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/>
    </w:tblPr>
    <w:tblGrid>
      <w:gridCol w:w="709"/>
      <w:gridCol w:w="5097"/>
      <w:gridCol w:w="1565"/>
      <w:gridCol w:w="4536"/>
      <w:gridCol w:w="2694"/>
    </w:tblGrid>
    <w:tr w:rsidR="00ED1BDD" w:rsidRPr="008930F8" w:rsidTr="008930F8">
      <w:tc>
        <w:tcPr>
          <w:tcW w:w="817" w:type="dxa"/>
        </w:tcPr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№ п/п</w:t>
          </w:r>
        </w:p>
      </w:tc>
      <w:tc>
        <w:tcPr>
          <w:tcW w:w="5097" w:type="dxa"/>
        </w:tcPr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Результат</w:t>
          </w:r>
        </w:p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Причины невыполнения</w:t>
          </w:r>
        </w:p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ED1BDD" w:rsidRPr="008930F8" w:rsidTr="008930F8">
      <w:tc>
        <w:tcPr>
          <w:tcW w:w="817" w:type="dxa"/>
        </w:tcPr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1</w:t>
          </w:r>
        </w:p>
      </w:tc>
      <w:tc>
        <w:tcPr>
          <w:tcW w:w="5097" w:type="dxa"/>
        </w:tcPr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2</w:t>
          </w:r>
        </w:p>
      </w:tc>
      <w:tc>
        <w:tcPr>
          <w:tcW w:w="1565" w:type="dxa"/>
        </w:tcPr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ED1BDD" w:rsidRPr="008930F8" w:rsidRDefault="00ED1BDD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5</w:t>
          </w:r>
        </w:p>
      </w:tc>
    </w:tr>
  </w:tbl>
  <w:p w:rsidR="00ED1BDD" w:rsidRDefault="00ED1BD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BDD" w:rsidRDefault="00ED1BDD">
    <w:pPr>
      <w:pStyle w:val="Header"/>
      <w:jc w:val="right"/>
    </w:pPr>
  </w:p>
  <w:p w:rsidR="00ED1BDD" w:rsidRDefault="00ED1BD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AE8"/>
    <w:rsid w:val="000136CF"/>
    <w:rsid w:val="0003630B"/>
    <w:rsid w:val="00036F69"/>
    <w:rsid w:val="00071529"/>
    <w:rsid w:val="00096C52"/>
    <w:rsid w:val="000A3157"/>
    <w:rsid w:val="000B2BBC"/>
    <w:rsid w:val="000C13D9"/>
    <w:rsid w:val="000C252D"/>
    <w:rsid w:val="000C4D29"/>
    <w:rsid w:val="000E041F"/>
    <w:rsid w:val="000E0AE8"/>
    <w:rsid w:val="000E41C8"/>
    <w:rsid w:val="00100C84"/>
    <w:rsid w:val="00117CC4"/>
    <w:rsid w:val="001347A2"/>
    <w:rsid w:val="001363C3"/>
    <w:rsid w:val="00145D90"/>
    <w:rsid w:val="001525F1"/>
    <w:rsid w:val="00153AAA"/>
    <w:rsid w:val="00172669"/>
    <w:rsid w:val="0019114E"/>
    <w:rsid w:val="001D3B04"/>
    <w:rsid w:val="001D744A"/>
    <w:rsid w:val="001E4540"/>
    <w:rsid w:val="001F5A8E"/>
    <w:rsid w:val="001F6D81"/>
    <w:rsid w:val="00205ED1"/>
    <w:rsid w:val="002138FB"/>
    <w:rsid w:val="00230253"/>
    <w:rsid w:val="002446C4"/>
    <w:rsid w:val="00254B30"/>
    <w:rsid w:val="00270100"/>
    <w:rsid w:val="00287EEE"/>
    <w:rsid w:val="0029141E"/>
    <w:rsid w:val="002B6BC9"/>
    <w:rsid w:val="002D0C84"/>
    <w:rsid w:val="002D6990"/>
    <w:rsid w:val="002E3D16"/>
    <w:rsid w:val="002E4E22"/>
    <w:rsid w:val="002F63F2"/>
    <w:rsid w:val="002F7383"/>
    <w:rsid w:val="00311E83"/>
    <w:rsid w:val="00325524"/>
    <w:rsid w:val="00345D88"/>
    <w:rsid w:val="00362CCE"/>
    <w:rsid w:val="003911A0"/>
    <w:rsid w:val="00396326"/>
    <w:rsid w:val="003B23CA"/>
    <w:rsid w:val="003B3952"/>
    <w:rsid w:val="003B5A5B"/>
    <w:rsid w:val="003D2408"/>
    <w:rsid w:val="003D555C"/>
    <w:rsid w:val="003F0916"/>
    <w:rsid w:val="003F1B06"/>
    <w:rsid w:val="003F5AC8"/>
    <w:rsid w:val="00401FF6"/>
    <w:rsid w:val="004100FF"/>
    <w:rsid w:val="00412700"/>
    <w:rsid w:val="00431055"/>
    <w:rsid w:val="004430C6"/>
    <w:rsid w:val="0045454B"/>
    <w:rsid w:val="00466317"/>
    <w:rsid w:val="004A3C70"/>
    <w:rsid w:val="004A45EA"/>
    <w:rsid w:val="004B3F71"/>
    <w:rsid w:val="004C474F"/>
    <w:rsid w:val="004E5E57"/>
    <w:rsid w:val="005061A3"/>
    <w:rsid w:val="00510A93"/>
    <w:rsid w:val="005419F3"/>
    <w:rsid w:val="00553A90"/>
    <w:rsid w:val="00554835"/>
    <w:rsid w:val="00563765"/>
    <w:rsid w:val="005674E1"/>
    <w:rsid w:val="005735E0"/>
    <w:rsid w:val="00574593"/>
    <w:rsid w:val="00596B79"/>
    <w:rsid w:val="005A59F6"/>
    <w:rsid w:val="005C4790"/>
    <w:rsid w:val="005D53D2"/>
    <w:rsid w:val="005E1559"/>
    <w:rsid w:val="005F12C9"/>
    <w:rsid w:val="0060705A"/>
    <w:rsid w:val="00631227"/>
    <w:rsid w:val="00635DA7"/>
    <w:rsid w:val="00641FE9"/>
    <w:rsid w:val="0064626B"/>
    <w:rsid w:val="006469A9"/>
    <w:rsid w:val="006469D8"/>
    <w:rsid w:val="00646C4B"/>
    <w:rsid w:val="006476CB"/>
    <w:rsid w:val="00650C02"/>
    <w:rsid w:val="0066790B"/>
    <w:rsid w:val="00684380"/>
    <w:rsid w:val="006915F9"/>
    <w:rsid w:val="00697112"/>
    <w:rsid w:val="006A37DE"/>
    <w:rsid w:val="006B002A"/>
    <w:rsid w:val="006D257B"/>
    <w:rsid w:val="006D4A2C"/>
    <w:rsid w:val="006E05A4"/>
    <w:rsid w:val="006F04DD"/>
    <w:rsid w:val="00711DD2"/>
    <w:rsid w:val="007161C0"/>
    <w:rsid w:val="00720A6C"/>
    <w:rsid w:val="00750862"/>
    <w:rsid w:val="007678C9"/>
    <w:rsid w:val="007722C9"/>
    <w:rsid w:val="00775C86"/>
    <w:rsid w:val="00783833"/>
    <w:rsid w:val="00793BCB"/>
    <w:rsid w:val="0079404D"/>
    <w:rsid w:val="007A3673"/>
    <w:rsid w:val="007A41CE"/>
    <w:rsid w:val="007A4B49"/>
    <w:rsid w:val="007C4EA2"/>
    <w:rsid w:val="007D228E"/>
    <w:rsid w:val="007E09C0"/>
    <w:rsid w:val="007E0F7F"/>
    <w:rsid w:val="007E1F08"/>
    <w:rsid w:val="007F491E"/>
    <w:rsid w:val="007F6F58"/>
    <w:rsid w:val="00800B46"/>
    <w:rsid w:val="008066F2"/>
    <w:rsid w:val="008108A0"/>
    <w:rsid w:val="00820243"/>
    <w:rsid w:val="0084247A"/>
    <w:rsid w:val="008447A2"/>
    <w:rsid w:val="00863A60"/>
    <w:rsid w:val="00875767"/>
    <w:rsid w:val="008911B0"/>
    <w:rsid w:val="008918BB"/>
    <w:rsid w:val="008930F8"/>
    <w:rsid w:val="008B42B3"/>
    <w:rsid w:val="008C1517"/>
    <w:rsid w:val="008C2CB7"/>
    <w:rsid w:val="008D6210"/>
    <w:rsid w:val="00914988"/>
    <w:rsid w:val="00916768"/>
    <w:rsid w:val="0092094D"/>
    <w:rsid w:val="009256FC"/>
    <w:rsid w:val="0093481E"/>
    <w:rsid w:val="00940AC0"/>
    <w:rsid w:val="00945E11"/>
    <w:rsid w:val="009505BD"/>
    <w:rsid w:val="00954A9E"/>
    <w:rsid w:val="00957DE1"/>
    <w:rsid w:val="009627B6"/>
    <w:rsid w:val="00966DF4"/>
    <w:rsid w:val="00981733"/>
    <w:rsid w:val="0099560A"/>
    <w:rsid w:val="009972B7"/>
    <w:rsid w:val="009A3823"/>
    <w:rsid w:val="009B607A"/>
    <w:rsid w:val="009D331C"/>
    <w:rsid w:val="009E0AE2"/>
    <w:rsid w:val="009E3A28"/>
    <w:rsid w:val="009E6327"/>
    <w:rsid w:val="00A00019"/>
    <w:rsid w:val="00A071EE"/>
    <w:rsid w:val="00A108B0"/>
    <w:rsid w:val="00A1343C"/>
    <w:rsid w:val="00A152C7"/>
    <w:rsid w:val="00A3777B"/>
    <w:rsid w:val="00A44B0E"/>
    <w:rsid w:val="00A54FB3"/>
    <w:rsid w:val="00A6189C"/>
    <w:rsid w:val="00A6262B"/>
    <w:rsid w:val="00AA5291"/>
    <w:rsid w:val="00AA6C89"/>
    <w:rsid w:val="00AB7556"/>
    <w:rsid w:val="00AB7688"/>
    <w:rsid w:val="00AC4141"/>
    <w:rsid w:val="00AD02C0"/>
    <w:rsid w:val="00AD6762"/>
    <w:rsid w:val="00AF1841"/>
    <w:rsid w:val="00B165BF"/>
    <w:rsid w:val="00B2194C"/>
    <w:rsid w:val="00B2582F"/>
    <w:rsid w:val="00B32979"/>
    <w:rsid w:val="00B32EFF"/>
    <w:rsid w:val="00B40CA3"/>
    <w:rsid w:val="00B43947"/>
    <w:rsid w:val="00B4776D"/>
    <w:rsid w:val="00B538D0"/>
    <w:rsid w:val="00B54038"/>
    <w:rsid w:val="00B575B5"/>
    <w:rsid w:val="00B73F14"/>
    <w:rsid w:val="00B8787F"/>
    <w:rsid w:val="00B9142E"/>
    <w:rsid w:val="00B937AB"/>
    <w:rsid w:val="00BC1A32"/>
    <w:rsid w:val="00BF24AE"/>
    <w:rsid w:val="00C072D8"/>
    <w:rsid w:val="00C179A5"/>
    <w:rsid w:val="00C26EAA"/>
    <w:rsid w:val="00C274CE"/>
    <w:rsid w:val="00C32AC4"/>
    <w:rsid w:val="00C442DB"/>
    <w:rsid w:val="00C85728"/>
    <w:rsid w:val="00C912A5"/>
    <w:rsid w:val="00C96F6D"/>
    <w:rsid w:val="00CA4CBC"/>
    <w:rsid w:val="00CB59EC"/>
    <w:rsid w:val="00CB6F18"/>
    <w:rsid w:val="00CE7C56"/>
    <w:rsid w:val="00CF54C4"/>
    <w:rsid w:val="00D358BE"/>
    <w:rsid w:val="00D421A5"/>
    <w:rsid w:val="00D44E3B"/>
    <w:rsid w:val="00D63702"/>
    <w:rsid w:val="00D7385B"/>
    <w:rsid w:val="00D846E4"/>
    <w:rsid w:val="00D867C6"/>
    <w:rsid w:val="00DA2950"/>
    <w:rsid w:val="00DB18CF"/>
    <w:rsid w:val="00DC413D"/>
    <w:rsid w:val="00DC4DB3"/>
    <w:rsid w:val="00DC537B"/>
    <w:rsid w:val="00DD532D"/>
    <w:rsid w:val="00DD6392"/>
    <w:rsid w:val="00DF264D"/>
    <w:rsid w:val="00E17600"/>
    <w:rsid w:val="00E230C3"/>
    <w:rsid w:val="00E3268F"/>
    <w:rsid w:val="00E33868"/>
    <w:rsid w:val="00E432BD"/>
    <w:rsid w:val="00E43D2F"/>
    <w:rsid w:val="00E470A9"/>
    <w:rsid w:val="00E823B0"/>
    <w:rsid w:val="00EA2E28"/>
    <w:rsid w:val="00EC4CCB"/>
    <w:rsid w:val="00ED04DA"/>
    <w:rsid w:val="00ED1BDD"/>
    <w:rsid w:val="00ED22CB"/>
    <w:rsid w:val="00EE3EA1"/>
    <w:rsid w:val="00EE74D4"/>
    <w:rsid w:val="00EF6C26"/>
    <w:rsid w:val="00F07843"/>
    <w:rsid w:val="00F33607"/>
    <w:rsid w:val="00F46578"/>
    <w:rsid w:val="00F573E2"/>
    <w:rsid w:val="00F63619"/>
    <w:rsid w:val="00F74F33"/>
    <w:rsid w:val="00F820E3"/>
    <w:rsid w:val="00F9758A"/>
    <w:rsid w:val="00FA0668"/>
    <w:rsid w:val="00FA3B99"/>
    <w:rsid w:val="00FB40AD"/>
    <w:rsid w:val="00FB495E"/>
    <w:rsid w:val="00FB58A7"/>
    <w:rsid w:val="00FB6512"/>
    <w:rsid w:val="00FC1DC3"/>
    <w:rsid w:val="00FD4F77"/>
    <w:rsid w:val="00FE4BE9"/>
    <w:rsid w:val="00FF4621"/>
    <w:rsid w:val="00FF6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AE8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E0AE8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E4BE9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E4BE9"/>
    <w:rPr>
      <w:rFonts w:eastAsia="Times New Roman" w:cs="Times New Roman"/>
      <w:lang w:eastAsia="ru-RU"/>
    </w:rPr>
  </w:style>
  <w:style w:type="paragraph" w:styleId="NormalWeb">
    <w:name w:val="Normal (Web)"/>
    <w:basedOn w:val="Normal"/>
    <w:uiPriority w:val="99"/>
    <w:rsid w:val="00F975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">
    <w:name w:val="Знак Знак Знак"/>
    <w:basedOn w:val="Normal"/>
    <w:uiPriority w:val="99"/>
    <w:rsid w:val="007E09C0"/>
    <w:pPr>
      <w:spacing w:after="0" w:line="240" w:lineRule="auto"/>
    </w:pPr>
    <w:rPr>
      <w:rFonts w:ascii="Verdana" w:eastAsia="Calibri" w:hAnsi="Verdana" w:cs="Verdana"/>
      <w:sz w:val="20"/>
      <w:szCs w:val="20"/>
      <w:lang w:val="en-US" w:eastAsia="en-US"/>
    </w:rPr>
  </w:style>
  <w:style w:type="character" w:styleId="Strong">
    <w:name w:val="Strong"/>
    <w:basedOn w:val="DefaultParagraphFont"/>
    <w:uiPriority w:val="99"/>
    <w:qFormat/>
    <w:locked/>
    <w:rsid w:val="00AA6C89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E3A28"/>
    <w:rPr>
      <w:rFonts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9E3A28"/>
    <w:rPr>
      <w:lang w:eastAsia="en-US"/>
    </w:rPr>
  </w:style>
  <w:style w:type="paragraph" w:styleId="ListParagraph">
    <w:name w:val="List Paragraph"/>
    <w:basedOn w:val="Normal"/>
    <w:uiPriority w:val="99"/>
    <w:qFormat/>
    <w:rsid w:val="00D421A5"/>
    <w:pPr>
      <w:ind w:left="720"/>
      <w:contextualSpacing/>
    </w:pPr>
    <w:rPr>
      <w:rFonts w:eastAsia="Calibri"/>
      <w:lang w:eastAsia="en-US"/>
    </w:rPr>
  </w:style>
  <w:style w:type="paragraph" w:customStyle="1" w:styleId="1">
    <w:name w:val="Абзац списка1"/>
    <w:basedOn w:val="Normal"/>
    <w:uiPriority w:val="99"/>
    <w:rsid w:val="007A41CE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77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1276</TotalTime>
  <Pages>17</Pages>
  <Words>4679</Words>
  <Characters>26676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DNA7 X86</cp:lastModifiedBy>
  <cp:revision>67</cp:revision>
  <cp:lastPrinted>2018-01-25T07:25:00Z</cp:lastPrinted>
  <dcterms:created xsi:type="dcterms:W3CDTF">2017-06-13T06:57:00Z</dcterms:created>
  <dcterms:modified xsi:type="dcterms:W3CDTF">2018-01-26T12:32:00Z</dcterms:modified>
</cp:coreProperties>
</file>