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Перерасчет пенсии</w:t>
      </w:r>
    </w:p>
    <w:p w14:paraId="02000000">
      <w:pPr>
        <w:pStyle w:val="Style_2"/>
        <w:spacing w:after="75" w:before="75"/>
        <w:ind w:firstLine="0" w:left="75" w:right="75"/>
        <w:jc w:val="center"/>
      </w:pPr>
    </w:p>
    <w:p w14:paraId="03000000">
      <w:pPr>
        <w:pStyle w:val="Style_2"/>
      </w:pPr>
      <w:r>
        <w:t>Перерасчет размера пенсии – это изменение размера страховой пенсии по старости и страховой пенсии по инвалидности в связи с наличием у пенсионера дополнительного заработка, с которого начислены (уплачены) страховые взносы на страховую пенсию, а также в связи с другими обстоятельствами.</w:t>
      </w:r>
    </w:p>
    <w:p w14:paraId="04000000">
      <w:pPr>
        <w:pStyle w:val="Style_2"/>
      </w:pPr>
      <w:r>
        <w:t>Многие пенсионеры после выхода на пенсию продолжают работать. В этом случае работодатели начисляют (уплачивают) за них страховые взносы в систему обязательного пенсионного страхования, с учетом которых органы ПФР производят перерасчет размера страховой пенсии.</w:t>
      </w:r>
    </w:p>
    <w:p w14:paraId="05000000">
      <w:pPr>
        <w:pStyle w:val="Style_2"/>
      </w:pPr>
      <w:r>
        <w:t> </w:t>
      </w:r>
    </w:p>
    <w:p w14:paraId="06000000">
      <w:pPr>
        <w:pStyle w:val="Style_3"/>
        <w:numPr>
          <w:ilvl w:val="2"/>
          <w:numId w:val="1"/>
        </w:numPr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"http://www.pfrf.ru/grazdanam/pensionres/pereraschet/~525"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Перерасчет размера страховой пенсии без заявления</w:t>
      </w:r>
      <w:r>
        <w:rPr>
          <w:color w:val="000080"/>
          <w:u w:color="000080" w:val="single"/>
        </w:rPr>
        <w:fldChar w:fldCharType="end"/>
      </w:r>
      <w:r>
        <w:t xml:space="preserve"> </w:t>
      </w:r>
    </w:p>
    <w:p w14:paraId="07000000">
      <w:pPr>
        <w:pStyle w:val="Style_2"/>
        <w:numPr>
          <w:numId w:val="1"/>
        </w:numPr>
      </w:pPr>
      <w:r>
        <w:t>Перерасчет размера страховой пенсии как работающим пенсионерам, так и неработающим производится через увеличение индивидуального пенсионного коэффициента.</w:t>
      </w:r>
    </w:p>
    <w:p w14:paraId="08000000">
      <w:pPr>
        <w:pStyle w:val="Style_2"/>
        <w:numPr>
          <w:numId w:val="1"/>
        </w:numPr>
      </w:pPr>
      <w:r>
        <w:t>Работающим пенсионерам перерасчет производится   с учетом страховых взносов, которые работодатель начисляет (уплачивает) за него в Пенсионный фонд России, и которые не учтены:</w:t>
      </w:r>
    </w:p>
    <w:p w14:paraId="09000000">
      <w:pPr>
        <w:pStyle w:val="Style_2"/>
        <w:numPr>
          <w:ilvl w:val="1"/>
          <w:numId w:val="1"/>
        </w:numPr>
        <w:spacing w:after="0" w:before="0"/>
        <w:ind/>
      </w:pPr>
      <w:r>
        <w:t xml:space="preserve">при назначении страховой пенсии по старости; </w:t>
      </w:r>
    </w:p>
    <w:p w14:paraId="0A000000">
      <w:pPr>
        <w:pStyle w:val="Style_2"/>
        <w:numPr>
          <w:ilvl w:val="1"/>
          <w:numId w:val="1"/>
        </w:numPr>
        <w:spacing w:after="0" w:before="0"/>
        <w:ind/>
      </w:pPr>
      <w:r>
        <w:t xml:space="preserve">при назначении страховой пенсии по случаю потери кормильца; </w:t>
      </w:r>
    </w:p>
    <w:p w14:paraId="0B000000">
      <w:pPr>
        <w:pStyle w:val="Style_2"/>
        <w:numPr>
          <w:ilvl w:val="1"/>
          <w:numId w:val="1"/>
        </w:numPr>
        <w:spacing w:after="0" w:before="0"/>
        <w:ind/>
      </w:pPr>
      <w:r>
        <w:t xml:space="preserve">при назначении страховой пенсии по инвалидности; </w:t>
      </w:r>
    </w:p>
    <w:p w14:paraId="0C000000">
      <w:pPr>
        <w:pStyle w:val="Style_2"/>
        <w:numPr>
          <w:ilvl w:val="1"/>
          <w:numId w:val="1"/>
        </w:numPr>
        <w:spacing w:after="0" w:before="0"/>
        <w:ind/>
      </w:pPr>
      <w:r>
        <w:t xml:space="preserve">при переводе с одного вида страховой пенсии на страховую пенсию по старости или страховую пенсию по инвалидности; </w:t>
      </w:r>
    </w:p>
    <w:p w14:paraId="0D000000">
      <w:pPr>
        <w:pStyle w:val="Style_2"/>
        <w:numPr>
          <w:ilvl w:val="1"/>
          <w:numId w:val="1"/>
        </w:numPr>
      </w:pPr>
      <w:r>
        <w:t xml:space="preserve">при предыдущем перерасчете. </w:t>
      </w:r>
    </w:p>
    <w:p w14:paraId="0E000000">
      <w:pPr>
        <w:pStyle w:val="Style_2"/>
        <w:numPr>
          <w:numId w:val="1"/>
        </w:numPr>
      </w:pPr>
      <w:r>
        <w:t>В этих случаях перерасчет размера страховой пенсии производится территориальным органом Пенсионного фонда России в беззаявительном порядке с 1 августа каждого года.</w:t>
      </w:r>
    </w:p>
    <w:p w14:paraId="0F000000">
      <w:pPr>
        <w:pStyle w:val="Style_2"/>
        <w:numPr>
          <w:numId w:val="1"/>
        </w:numPr>
      </w:pPr>
      <w:r>
        <w:t>Перерасчет размера страховой пенсии по случаю потери кормильца подлежит корректировке один раз: в августе года, следующего за годом, в котором была назначена эта пенсия.</w:t>
      </w:r>
    </w:p>
    <w:p w14:paraId="10000000">
      <w:pPr>
        <w:pStyle w:val="Style_2"/>
        <w:numPr>
          <w:numId w:val="1"/>
        </w:numPr>
      </w:pPr>
      <w:r>
        <w:t>Законодательством установлены максимальные значения индивидуального пенсионного коэффициента, которые учитываются при беззаявительном перерасчете страховой пенсии. Это значение зависит от того, формируются ли у пенсионера пенсионные накопления или нет:</w:t>
      </w:r>
    </w:p>
    <w:p w14:paraId="11000000">
      <w:pPr>
        <w:pStyle w:val="Style_2"/>
        <w:numPr>
          <w:numId w:val="1"/>
        </w:numPr>
      </w:pPr>
      <w:r>
        <w:t>не свыше  3,0 – для пенсионеров, у которых в соответствующем году пенсионные накопления не формируются.</w:t>
      </w:r>
    </w:p>
    <w:p w14:paraId="12000000">
      <w:pPr>
        <w:pStyle w:val="Style_2"/>
        <w:numPr>
          <w:numId w:val="1"/>
        </w:numPr>
      </w:pPr>
      <w:r>
        <w:t>Кроме того, в случае представления после назначения страховой пенсии страхователем сведений индивидуального (персонифицированного) учета за период после регистрации гражданина в качестве застрахованного лица в отношении периодов работы и (или) иной деятельности, имевших место до ее назначения, которые влекут увеличение индивидуального пенсионного коэффициента. производится перерасчет размера страховой пенсии со дня назначения указанной пенсии без истребования заявления.</w:t>
      </w:r>
    </w:p>
    <w:p w14:paraId="13000000">
      <w:pPr>
        <w:pStyle w:val="Style_2"/>
        <w:numPr>
          <w:numId w:val="1"/>
        </w:numPr>
      </w:pPr>
      <w:r>
        <w:t>Беззаявительный перерасчет размера фиксированной выплаты к страховой пенсии осуществляется в случае:</w:t>
      </w:r>
    </w:p>
    <w:p w14:paraId="14000000">
      <w:pPr>
        <w:pStyle w:val="Style_2"/>
        <w:numPr>
          <w:ilvl w:val="1"/>
          <w:numId w:val="1"/>
        </w:numPr>
        <w:spacing w:after="0" w:before="0"/>
        <w:ind/>
      </w:pPr>
      <w:r>
        <w:t xml:space="preserve">достижения пенсионером возраста 80 лет. Применяется только к страховой пенсии по старости. Достижение возраста 80 лет позволяет установить размер фиксированной  выплаты к страховой пенсии по старости в повышенном размере; </w:t>
      </w:r>
    </w:p>
    <w:p w14:paraId="15000000">
      <w:pPr>
        <w:pStyle w:val="Style_2"/>
        <w:numPr>
          <w:ilvl w:val="1"/>
          <w:numId w:val="1"/>
        </w:numPr>
        <w:spacing w:after="0" w:before="0"/>
        <w:ind/>
      </w:pPr>
      <w:r>
        <w:t xml:space="preserve">изменения группы инвалидности. Применяется как к страховой пенсии по старости, так и к страховой пенсии по инвалидности. При этом повышенная фиксированная выплата к страховой пенсии по старости предусмотрена для инвалидов I группы. </w:t>
      </w:r>
    </w:p>
    <w:p w14:paraId="16000000">
      <w:pPr>
        <w:pStyle w:val="Style_2"/>
        <w:numPr>
          <w:numId w:val="1"/>
        </w:numPr>
      </w:pPr>
      <w:r>
        <w:t>ВАЖНО! Пенсия работающих пенсионеров будет ежегодно расти не только за счет увеличения стоимости пенсионного коэффициента и размера фиксированной выплаты, но и благодаря традиционному ежегодному августовскому перерасчету.</w:t>
      </w:r>
    </w:p>
    <w:p w14:paraId="17000000">
      <w:pPr>
        <w:pStyle w:val="Style_2"/>
        <w:numPr>
          <w:numId w:val="1"/>
        </w:numPr>
      </w:pPr>
    </w:p>
    <w:p w14:paraId="18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3" w:type="paragraph">
    <w:name w:val="heading 3"/>
    <w:basedOn w:val="Style_9"/>
    <w:next w:val="Style_2"/>
    <w:link w:val="Style_3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3_ch" w:type="character">
    <w:name w:val="heading 3"/>
    <w:basedOn w:val="Style_9_ch"/>
    <w:link w:val="Style_3"/>
    <w:rPr>
      <w:rFonts w:ascii="Liberation Serif" w:hAnsi="Liberation Serif"/>
      <w:b w:val="1"/>
      <w:color w:val="808080"/>
      <w:sz w:val="28"/>
    </w:rPr>
  </w:style>
  <w:style w:styleId="Style_2" w:type="paragraph">
    <w:name w:val="Text body"/>
    <w:basedOn w:val="Style_4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4_ch"/>
    <w:link w:val="Style_2"/>
  </w:style>
  <w:style w:styleId="Style_10" w:type="paragraph">
    <w:name w:val="Index"/>
    <w:basedOn w:val="Style_4"/>
    <w:link w:val="Style_10_ch"/>
  </w:style>
  <w:style w:styleId="Style_10_ch" w:type="character">
    <w:name w:val="Index"/>
    <w:basedOn w:val="Style_4_ch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Caption"/>
    <w:basedOn w:val="Style_4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4_ch"/>
    <w:link w:val="Style_12"/>
    <w:rPr>
      <w:i w:val="1"/>
      <w:sz w:val="24"/>
    </w:rPr>
  </w:style>
  <w:style w:styleId="Style_13" w:type="paragraph">
    <w:name w:val="toc 3"/>
    <w:next w:val="Style_4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4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9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9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80"/>
      <w:u w:color="000080" w:val="single"/>
    </w:rPr>
  </w:style>
  <w:style w:styleId="Style_15_ch" w:type="character">
    <w:name w:val="Hyperlink"/>
    <w:link w:val="Style_15"/>
    <w:rPr>
      <w:color w:val="000080"/>
      <w:u w:color="000080"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Bullet Symbols"/>
    <w:link w:val="Style_19_ch"/>
    <w:rPr>
      <w:rFonts w:ascii="OpenSymbol" w:hAnsi="OpenSymbol"/>
    </w:rPr>
  </w:style>
  <w:style w:styleId="Style_19_ch" w:type="character">
    <w:name w:val="Bullet Symbols"/>
    <w:link w:val="Style_19"/>
    <w:rPr>
      <w:rFonts w:ascii="OpenSymbol" w:hAnsi="OpenSymbol"/>
    </w:rPr>
  </w:style>
  <w:style w:styleId="Style_9" w:type="paragraph">
    <w:name w:val="Heading"/>
    <w:basedOn w:val="Style_4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4_ch"/>
    <w:link w:val="Style_9"/>
    <w:rPr>
      <w:rFonts w:ascii="Liberation Sans" w:hAnsi="Liberation Sans"/>
      <w:sz w:val="28"/>
    </w:rPr>
  </w:style>
  <w:style w:styleId="Style_20" w:type="paragraph">
    <w:name w:val="toc 9"/>
    <w:next w:val="Style_4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4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4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4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4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4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4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Strong Emphasis"/>
    <w:link w:val="Style_27_ch"/>
    <w:rPr>
      <w:b w:val="1"/>
    </w:rPr>
  </w:style>
  <w:style w:styleId="Style_27_ch" w:type="character">
    <w:name w:val="Strong Emphasis"/>
    <w:link w:val="Style_27"/>
    <w:rPr>
      <w:b w:val="1"/>
    </w:rPr>
  </w:style>
  <w:style w:styleId="Style_28" w:type="paragraph">
    <w:name w:val="heading 2"/>
    <w:next w:val="Style_4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