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rPr>
          <w:rStyle w:val="Style_2_ch"/>
        </w:rPr>
        <w:t>Перерасчет средств пенсионных накоплений</w:t>
      </w:r>
    </w:p>
    <w:p w14:paraId="02000000">
      <w:pPr>
        <w:pStyle w:val="Style_1"/>
      </w:pPr>
      <w:r>
        <w:t>Гражданам, продолжающим работать после назначения выплаты в виде накопительной пенсии или срочной пенсионной выплаты, или за которых после назначения таких выплат продолжают поступать в рамках Программы государственного софинансирования пенсий дополнительные взносы на формирование пенсионных накоплений, перерасчет производится 1 августа каждого года в беззаявительном порядке.</w:t>
      </w:r>
    </w:p>
    <w:p w14:paraId="03000000">
      <w:pPr>
        <w:pStyle w:val="Style_1"/>
      </w:pPr>
      <w:r>
        <w:t>Перерасчет происходит исходя из:</w:t>
      </w:r>
    </w:p>
    <w:p w14:paraId="04000000">
      <w:pPr>
        <w:pStyle w:val="Style_1"/>
        <w:numPr>
          <w:numId w:val="1"/>
        </w:numPr>
        <w:spacing w:after="0" w:before="0"/>
        <w:ind/>
      </w:pPr>
      <w:r>
        <w:t xml:space="preserve">результатов инвестирования пенсионных накоплений гражданина; </w:t>
      </w:r>
    </w:p>
    <w:p w14:paraId="05000000">
      <w:pPr>
        <w:pStyle w:val="Style_1"/>
        <w:numPr>
          <w:numId w:val="1"/>
        </w:numPr>
      </w:pPr>
      <w:r>
        <w:t xml:space="preserve">суммы поступлений, которые не были учтены при назначении срочной пенсионной выплаты или выплаты накопительной пенсии или предыдущей корректировке. </w:t>
      </w:r>
    </w:p>
    <w:p w14:paraId="06000000">
      <w:pPr>
        <w:pStyle w:val="Style_1"/>
      </w:pPr>
      <w:r>
        <w:t> 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numFmt w:val="bullet"/>
      <w:lvlText w:val="•"/>
      <w:rPr>
        <w:rFonts w:ascii="OpenSymbol" w:hAnsi="OpenSymbol"/>
      </w:rPr>
    </w:lvl>
    <w:lvl w:ilvl="1">
      <w:numFmt w:val="bullet"/>
      <w:lvlText w:val="•"/>
      <w:rPr>
        <w:rFonts w:ascii="OpenSymbol" w:hAnsi="OpenSymbol"/>
      </w:rPr>
    </w:lvl>
    <w:lvl w:ilvl="2">
      <w:numFmt w:val="bullet"/>
      <w:lvlText w:val="•"/>
      <w:rPr>
        <w:rFonts w:ascii="OpenSymbol" w:hAnsi="OpenSymbol"/>
      </w:rPr>
    </w:lvl>
    <w:lvl w:ilvl="3">
      <w:numFmt w:val="bullet"/>
      <w:lvlText w:val="•"/>
      <w:rPr>
        <w:rFonts w:ascii="OpenSymbol" w:hAnsi="OpenSymbol"/>
      </w:rPr>
    </w:lvl>
    <w:lvl w:ilvl="4">
      <w:numFmt w:val="bullet"/>
      <w:lvlText w:val="•"/>
      <w:rPr>
        <w:rFonts w:ascii="OpenSymbol" w:hAnsi="OpenSymbol"/>
      </w:rPr>
    </w:lvl>
    <w:lvl w:ilvl="5">
      <w:numFmt w:val="bullet"/>
      <w:lvlText w:val="•"/>
      <w:rPr>
        <w:rFonts w:ascii="OpenSymbol" w:hAnsi="OpenSymbol"/>
      </w:rPr>
    </w:lvl>
    <w:lvl w:ilvl="6">
      <w:numFmt w:val="bullet"/>
      <w:lvlText w:val="•"/>
      <w:rPr>
        <w:rFonts w:ascii="OpenSymbol" w:hAnsi="OpenSymbol"/>
      </w:rPr>
    </w:lvl>
    <w:lvl w:ilvl="7">
      <w:numFmt w:val="bullet"/>
      <w:lvlText w:val="•"/>
      <w:rPr>
        <w:rFonts w:ascii="OpenSymbol" w:hAnsi="OpenSymbol"/>
      </w:rPr>
    </w:lvl>
    <w:lvl w:ilvl="8">
      <w:numFmt w:val="bullet"/>
      <w:lvlText w:val="•"/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Caption"/>
    <w:basedOn w:val="Style_3"/>
    <w:link w:val="Style_5_ch"/>
    <w:pPr>
      <w:spacing w:after="120" w:before="120"/>
      <w:ind/>
    </w:pPr>
    <w:rPr>
      <w:i w:val="1"/>
      <w:sz w:val="24"/>
    </w:rPr>
  </w:style>
  <w:style w:styleId="Style_5_ch" w:type="character">
    <w:name w:val="Caption"/>
    <w:basedOn w:val="Style_3_ch"/>
    <w:link w:val="Style_5"/>
    <w:rPr>
      <w:i w:val="1"/>
      <w:sz w:val="24"/>
    </w:rPr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2" w:type="paragraph">
    <w:name w:val="Strong Emphasis"/>
    <w:link w:val="Style_2_ch"/>
    <w:rPr>
      <w:b w:val="1"/>
    </w:rPr>
  </w:style>
  <w:style w:styleId="Style_2_ch" w:type="character">
    <w:name w:val="Strong Emphasis"/>
    <w:link w:val="Style_2"/>
    <w:rPr>
      <w:b w:val="1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Bullet Symbols"/>
    <w:link w:val="Style_18_ch"/>
    <w:rPr>
      <w:rFonts w:ascii="OpenSymbol" w:hAnsi="OpenSymbol"/>
    </w:rPr>
  </w:style>
  <w:style w:styleId="Style_18_ch" w:type="character">
    <w:name w:val="Bullet Symbols"/>
    <w:link w:val="Style_18"/>
    <w:rPr>
      <w:rFonts w:ascii="OpenSymbol" w:hAnsi="OpenSymbol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Heading"/>
    <w:basedOn w:val="Style_3"/>
    <w:next w:val="Style_1"/>
    <w:link w:val="Style_2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3_ch" w:type="character">
    <w:name w:val="Heading"/>
    <w:basedOn w:val="Style_3_ch"/>
    <w:link w:val="Style_23"/>
    <w:rPr>
      <w:rFonts w:ascii="Liberation Sans" w:hAnsi="Liberation Sans"/>
      <w:sz w:val="28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List"/>
    <w:basedOn w:val="Style_1"/>
    <w:link w:val="Style_27_ch"/>
  </w:style>
  <w:style w:styleId="Style_27_ch" w:type="character">
    <w:name w:val="List"/>
    <w:basedOn w:val="Style_1_ch"/>
    <w:link w:val="Style_27"/>
  </w:style>
  <w:style w:styleId="Style_28" w:type="paragraph">
    <w:name w:val="heading 2"/>
    <w:next w:val="Style_3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  <w:style w:styleId="Style_1" w:type="paragraph">
    <w:name w:val="Text body"/>
    <w:basedOn w:val="Style_3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3_ch"/>
    <w:link w:val="Style_1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