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"http://www.pfrf.ru/grazdanam/pensionres/pereraschet/~3972"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 xml:space="preserve">Перерасчет размера страховой пенсии с учетом нестраховых периодов </w:t>
      </w:r>
      <w:r>
        <w:rPr>
          <w:color w:val="000080"/>
          <w:u w:color="000080" w:val="single"/>
        </w:rPr>
        <w:fldChar w:fldCharType="end"/>
      </w:r>
    </w:p>
    <w:p w14:paraId="02000000">
      <w:pPr>
        <w:pStyle w:val="Style_2"/>
      </w:pPr>
      <w:r>
        <w:t>Периоды работы, в течение которых за гражданина уплачиваются страховые взносы в Пенсионный фонд, называются страховыми. Наряду с ними существуют так называемые нестраховые периоды – когда гражданин как правило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К таким периодам, например, относятся  уход одного из родителей за ребенком до достижения им возраста полутора лет, уход, осуществляемый трудоспособным лицом за инвалидом I группы, ребенком-инвалидом или за лицом, достигшим возраста 80 лет, служба в армии по призыву. Как и страховые периоды, нестраховые периоды засчитываются в страховой стаж и за них государство начисляет пенсионные коэффициенты.</w:t>
      </w:r>
    </w:p>
    <w:p w14:paraId="03000000">
      <w:pPr>
        <w:pStyle w:val="Style_2"/>
      </w:pPr>
      <w:r>
        <w:t>С 1 января 2015 года пенсионер, имеющий «нестраховые» периоды, в любое время может обратиться в территориальный орган ПФР с заявлением о перерасчете размера страховой пенсии с приложением к нему всех необходимых документов, подтверждающих право на учет соответствующего «нестрахового» периода в страховой стаж.</w:t>
      </w:r>
    </w:p>
    <w:p w14:paraId="04000000">
      <w:pPr>
        <w:pStyle w:val="Style_2"/>
      </w:pPr>
      <w:r>
        <w:t>Документы, подтверждающие соответствующие «нестраховые» периоды определены законодательством. Например, для периода ухода одного из родителей за каждым ребенком до достижения им возраста полутора лет необходимы документы, удостоверяющие рождение ребенка и достижение им возраста полутора лет. Кроме того, обращающийся за установлением страховой пенсии гражданин (один из родителей) сообщает сведения о втором родителе, необходимые для решения вопроса о зачете в страховой стаж периода ухода за ребенком. Период ухода за ребенком засчитывается родителю в страховой стаж в случае, если соответствующий период ухода за данным ребенком не засчитан в страховой стаж другому родителю при установлении ему страховой пенсии.</w:t>
      </w:r>
    </w:p>
    <w:p w14:paraId="05000000">
      <w:pPr>
        <w:pStyle w:val="Style_2"/>
      </w:pPr>
      <w:r>
        <w:t>При наличии в распоряжении территориального органа ПФР необходимых сведений, представление гражданином документов не требуется.</w:t>
      </w:r>
    </w:p>
    <w:p w14:paraId="06000000">
      <w:pPr>
        <w:pStyle w:val="Style_2"/>
      </w:pPr>
      <w:r>
        <w:t>Заявление и прилагаемые к нему документы рассматриваются территориальным органом ПФР с учетом выбора для заявителя наиболее выгодного варианта его пенсионного обеспечения.</w:t>
      </w:r>
    </w:p>
    <w:p w14:paraId="07000000">
      <w:pPr>
        <w:pStyle w:val="Style_2"/>
      </w:pPr>
      <w:r>
        <w:t>Перерасчет размера страховой пенсии в сторону увеличения производится с  1-го числа месяца, следующего за месяцем, в котором принято заявление пенсионера о перерасчете размера страховой пенсии с приложением к нему всех необходимых для такого перерасчета документов.</w:t>
      </w:r>
    </w:p>
    <w:p w14:paraId="08000000">
      <w:pPr>
        <w:pStyle w:val="Style_2"/>
      </w:pPr>
      <w:r>
        <w:t>В случае, если перерасчет размера страховой пенсии невыгоден пенсионеру (например: приводит к уменьшению размера получаемой страховой пенсии по старости или утрате права на получение досрочно назначенной страховой пенсии), пенсионер информируется о том, что перерасчет не производится и пенсия выплачивается в прежнем размере.</w:t>
      </w:r>
    </w:p>
    <w:p w14:paraId="09000000">
      <w:pPr>
        <w:pStyle w:val="Style_2"/>
      </w:pPr>
      <w:r>
        <w:t>К нестраховым периодам, за которые предусмотрено начисление пенсионных коэффициентов, относятся:</w:t>
      </w:r>
    </w:p>
    <w:p w14:paraId="0A000000">
      <w:pPr>
        <w:pStyle w:val="Style_2"/>
        <w:numPr>
          <w:numId w:val="1"/>
        </w:numPr>
        <w:spacing w:after="0" w:before="0"/>
        <w:ind/>
      </w:pPr>
      <w:r>
        <w:t xml:space="preserve">уход одного из родителей за каждым ребенком до достижения им возраста полутора лет, но не более 6 лет в общей сложности (коэффициенты начисляются не более чем за 4 детей); </w:t>
      </w:r>
    </w:p>
    <w:p w14:paraId="0B000000">
      <w:pPr>
        <w:pStyle w:val="Style_2"/>
        <w:numPr>
          <w:numId w:val="1"/>
        </w:numPr>
        <w:spacing w:after="0" w:before="0"/>
        <w:ind/>
      </w:pPr>
      <w:r>
        <w:t xml:space="preserve">прохождение военной службы по призыву; </w:t>
      </w:r>
    </w:p>
    <w:p w14:paraId="0C000000">
      <w:pPr>
        <w:pStyle w:val="Style_2"/>
        <w:numPr>
          <w:numId w:val="1"/>
        </w:numPr>
        <w:spacing w:after="0" w:before="0"/>
        <w:ind/>
      </w:pPr>
      <w:r>
        <w:t xml:space="preserve">уход, осуществляемый трудоспособным лицом за инвалидом I группы, ребенком-инвалидом или за лицом, достигшим возраста 80 лет; </w:t>
      </w:r>
    </w:p>
    <w:p w14:paraId="0D000000">
      <w:pPr>
        <w:pStyle w:val="Style_2"/>
        <w:numPr>
          <w:numId w:val="1"/>
        </w:numPr>
        <w:spacing w:after="0" w:before="0"/>
        <w:ind/>
      </w:pPr>
      <w:r>
        <w:t xml:space="preserve"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 </w:t>
      </w:r>
    </w:p>
    <w:p w14:paraId="0E000000">
      <w:pPr>
        <w:pStyle w:val="Style_2"/>
        <w:numPr>
          <w:numId w:val="1"/>
        </w:numPr>
        <w:spacing w:after="0" w:before="0"/>
        <w:ind/>
      </w:pPr>
      <w:r>
        <w:t xml:space="preserve"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 </w:t>
      </w:r>
    </w:p>
    <w:p w14:paraId="0F000000">
      <w:pPr>
        <w:pStyle w:val="Style_2"/>
        <w:numPr>
          <w:numId w:val="1"/>
        </w:numPr>
        <w:spacing w:after="0" w:before="0"/>
        <w:ind/>
      </w:pPr>
      <w:r>
        <w:t xml:space="preserve"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 </w:t>
      </w:r>
    </w:p>
    <w:p w14:paraId="10000000">
      <w:pPr>
        <w:pStyle w:val="Style_2"/>
        <w:numPr>
          <w:numId w:val="1"/>
        </w:numPr>
        <w:spacing w:after="0" w:before="0"/>
        <w:ind/>
      </w:pPr>
      <w:r>
        <w:t xml:space="preserve"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 распространялось обязательное пенсионное страхование, уволенными с указанной службы (работы) начиная с 1 января 2002 года и не приобретшими право на пенсию за выслугу лет, на пенсию по инвалидности или на ежемесячное пожизненное содержание, финансируемые за счет средств федерального бюджета; </w:t>
      </w:r>
    </w:p>
    <w:p w14:paraId="11000000">
      <w:pPr>
        <w:pStyle w:val="Style_2"/>
        <w:numPr>
          <w:numId w:val="1"/>
        </w:numPr>
      </w:pPr>
      <w:r>
        <w:t xml:space="preserve">период осуществления судьей полномочий в соответствии с Законом Российской Федерации от 26 июня 1992 года № 3132-1 «О статусе судей в Российской Федерации». </w:t>
      </w:r>
    </w:p>
    <w:p w14:paraId="12000000">
      <w:pPr>
        <w:pStyle w:val="Style_2"/>
      </w:pPr>
      <w:r>
        <w:t>Стоит учитывать, что за перерасчетом пенсии могут обратиться в т.ч. граждане, кому она была назначена до 2015 года. При исчислении пенсий, назначаемых по новой пенсионной формуле с 2015 года, по закону учитывается наиболее выгодный вариант, поэтому в их перерасчете, как правило, нет необходимости.</w:t>
      </w:r>
    </w:p>
    <w:p w14:paraId="13000000">
      <w:pPr>
        <w:pStyle w:val="Style_2"/>
      </w:pPr>
      <w:r>
        <w:t>Перерасчет размера страховой пенсии с учетом нестраховых периодов происходит по заявлению пенсионера (или его представителя) поданного в территориальный орган ПФР по выбору заявителя.</w:t>
      </w:r>
      <w:r>
        <w:br/>
      </w:r>
      <w:r>
        <w:br/>
      </w:r>
      <w:r>
        <w:t>В случае подачи гражданином заявления о перерасчете размера пенсии в территориальный орган Пенсионного фонда Российской Федерации, не осуществляющий ему выплату пенсии, данный территориальный орган Пенсионного фонда Российской Федерации пересылает, в том числе в электронной форме, заявление и документы, представленные заявителем, в территориальный орган Пенсионного фонда Российской Федерации, осуществляющий выплату пенсии гражданину, не позднее рабочего дня, следующего за днем приема заявления.</w:t>
      </w:r>
    </w:p>
    <w:p w14:paraId="14000000">
      <w:pPr>
        <w:pStyle w:val="Style_2"/>
      </w:pPr>
      <w:r>
        <w:t>Помимо заявления также понадобятся:</w:t>
      </w:r>
    </w:p>
    <w:p w14:paraId="15000000">
      <w:pPr>
        <w:pStyle w:val="Style_2"/>
        <w:numPr>
          <w:numId w:val="2"/>
        </w:numPr>
        <w:spacing w:after="0" w:before="0"/>
        <w:ind/>
      </w:pPr>
      <w:r>
        <w:t xml:space="preserve">документ, удостоверяющий личность (паспорт гражданина РФ, заграничный паспорт гражданина РФ, служебный паспорт гражданина РФ, дипломатический паспорт гражданина РФ и др.); </w:t>
      </w:r>
    </w:p>
    <w:p w14:paraId="16000000">
      <w:pPr>
        <w:pStyle w:val="Style_2"/>
        <w:numPr>
          <w:numId w:val="2"/>
        </w:numPr>
      </w:pPr>
      <w:r>
        <w:t xml:space="preserve">документы, подтверждающие нестраховые периоды, засчитываемые в страховой стаж, если они отсутствуют в выплатном деле получателя пенсии (к примеру, для учета периода ухода за ребенком до возраста 1,5 лет – свидетельство о рождении, паспорт ребенка). </w:t>
      </w:r>
    </w:p>
    <w:p w14:paraId="17000000">
      <w:pPr>
        <w:pStyle w:val="Style_2"/>
      </w:pPr>
      <w:r>
        <w:t>Заявление о перерасчете размера пенсии может быть подано в форме электронного документа с использованием «личного кабинета» на «Едином портале государственных и муниципальных услуг» и сайте ПФР.</w:t>
      </w:r>
    </w:p>
    <w:p w14:paraId="18000000">
      <w:pPr>
        <w:pStyle w:val="Style_2"/>
      </w:pPr>
      <w:r>
        <w:t>При направлении заявления в форме электронного документа с использованием «личного кабинета» на «Едином портале государственных и муниципальных услуг (функций)» и сайте ПФР документы, удостоверяющие личность, возраст, гражданство гражданина, не требуются.</w:t>
      </w:r>
    </w:p>
    <w:p w14:paraId="19000000">
      <w:pPr>
        <w:pStyle w:val="Style_2"/>
      </w:pPr>
      <w:r>
        <w:t>Срок представления гражданином документов, необходимых для перерасчета размера пенсии, не должен превышать 5 рабочих дней со дня подачи соответствующего заявления.</w:t>
      </w:r>
    </w:p>
    <w:p w14:paraId="1A000000">
      <w:pPr>
        <w:pStyle w:val="Style_2"/>
      </w:pPr>
      <w:r>
        <w:t>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14:paraId="1B000000">
      <w:pPr>
        <w:pStyle w:val="Style_2"/>
      </w:pPr>
      <w:r>
        <w:t>Нестраховые периоды в первую очередь подтверждаются на основании сведений индивидуального (персонифицированного) учета, которые есть в распоряжении территориального  органа ПФР . Если эти сведения оказываются неполными либо отсутствуют, нестраховые периоды подтверждаются соответствующими документами.</w:t>
      </w:r>
    </w:p>
    <w:p w14:paraId="1C000000">
      <w:pPr>
        <w:pStyle w:val="Style_2"/>
      </w:pPr>
      <w:r>
        <w:t>Перерасчет размера пенсии производится с первого числа месяца, следующего за месяцем, в котором принято заявление пенсионера о перерасчете размера его страховой пенсии в сторону увеличения, если на то есть основания.</w:t>
      </w:r>
    </w:p>
    <w:p w14:paraId="1D000000">
      <w:pPr>
        <w:pStyle w:val="Style_2"/>
      </w:pPr>
      <w:r>
        <w:t>Основаниями для осуществления перерасчета размера страховой пенсии являются:</w:t>
      </w:r>
    </w:p>
    <w:p w14:paraId="1E000000">
      <w:pPr>
        <w:pStyle w:val="Style_2"/>
        <w:numPr>
          <w:numId w:val="3"/>
        </w:numPr>
        <w:spacing w:after="0" w:before="0"/>
        <w:ind/>
      </w:pPr>
      <w:r>
        <w:t xml:space="preserve">наличие нестраховых периодов до 2015 года, дающих право на повышение количества пенсионных коэффициентов; </w:t>
      </w:r>
    </w:p>
    <w:p w14:paraId="1F000000">
      <w:pPr>
        <w:pStyle w:val="Style_2"/>
        <w:numPr>
          <w:numId w:val="3"/>
        </w:numPr>
      </w:pPr>
      <w:r>
        <w:t xml:space="preserve">наличие нестраховых периодов начиная с 2015 года до даты назначения страховой пенсии, дающих право на повышение количества пенсионных коэффициентов. </w:t>
      </w:r>
    </w:p>
    <w:p w14:paraId="20000000">
      <w:pPr>
        <w:pStyle w:val="Style_2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"http://www.pfrf.ru/files/id/pensii/zayav_per_razm.doc"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Заявление на перерасчет размера пенсии</w:t>
      </w:r>
      <w:r>
        <w:rPr>
          <w:color w:val="000080"/>
          <w:u w:color="000080" w:val="single"/>
        </w:rPr>
        <w:fldChar w:fldCharType="end"/>
      </w:r>
    </w:p>
    <w:p w14:paraId="21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1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2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Caption"/>
    <w:basedOn w:val="Style_3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3_ch"/>
    <w:link w:val="Style_8"/>
    <w:rPr>
      <w:i w:val="1"/>
      <w:sz w:val="24"/>
    </w:rPr>
  </w:style>
  <w:style w:styleId="Style_1" w:type="paragraph">
    <w:name w:val="heading 3"/>
    <w:basedOn w:val="Style_9"/>
    <w:next w:val="Style_2"/>
    <w:link w:val="Style_1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1_ch" w:type="character">
    <w:name w:val="heading 3"/>
    <w:basedOn w:val="Style_9_ch"/>
    <w:link w:val="Style_1"/>
    <w:rPr>
      <w:rFonts w:ascii="Liberation Serif" w:hAnsi="Liberation Serif"/>
      <w:b w:val="1"/>
      <w:color w:val="808080"/>
      <w:sz w:val="28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80"/>
      <w:u w:color="000080" w:val="single"/>
    </w:rPr>
  </w:style>
  <w:style w:styleId="Style_13_ch" w:type="character">
    <w:name w:val="Hyperlink"/>
    <w:link w:val="Style_13"/>
    <w:rPr>
      <w:color w:val="000080"/>
      <w:u w:color="000080"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Bullet Symbols"/>
    <w:link w:val="Style_15_ch"/>
    <w:rPr>
      <w:rFonts w:ascii="OpenSymbol" w:hAnsi="OpenSymbol"/>
    </w:rPr>
  </w:style>
  <w:style w:styleId="Style_15_ch" w:type="character">
    <w:name w:val="Bullet Symbols"/>
    <w:link w:val="Style_15"/>
    <w:rPr>
      <w:rFonts w:ascii="OpenSymbol" w:hAnsi="OpenSymbol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List"/>
    <w:basedOn w:val="Style_2"/>
    <w:link w:val="Style_17_ch"/>
  </w:style>
  <w:style w:styleId="Style_17_ch" w:type="character">
    <w:name w:val="List"/>
    <w:basedOn w:val="Style_2_ch"/>
    <w:link w:val="Style_17"/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9" w:type="paragraph">
    <w:name w:val="Heading"/>
    <w:basedOn w:val="Style_3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3_ch"/>
    <w:link w:val="Style_9"/>
    <w:rPr>
      <w:rFonts w:ascii="Liberation Sans" w:hAnsi="Liberation San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Index"/>
    <w:basedOn w:val="Style_3"/>
    <w:link w:val="Style_22_ch"/>
  </w:style>
  <w:style w:styleId="Style_22_ch" w:type="character">
    <w:name w:val="Index"/>
    <w:basedOn w:val="Style_3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