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  <w:r>
        <w:t xml:space="preserve">Форму электронной трудовой книжки необходимо выбрать до конца года </w:t>
      </w:r>
    </w:p>
    <w:p w14:paraId="03000000">
      <w:pPr>
        <w:pStyle w:val="Style_1"/>
      </w:pPr>
      <w:r>
        <w:t xml:space="preserve">07.12.2020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Пенсионный фонд России напоминает, что всем работающим гражданам до 31 декабря 2020 года включительно 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 Переход на электронную трудовую книжку (ЭТК) является добровольным.</w:t>
      </w:r>
    </w:p>
    <w:p w14:paraId="05000000">
      <w:pPr>
        <w:pStyle w:val="Style_2"/>
      </w:pPr>
      <w:r>
        <w:t>Сотрудники, выбравшие электронную трудовую книжку, получают бумажную трудовую на руки с соответствующей записью о сделанном выборе. При этом бумажная трудовая книжка не теряет своей силы и продолжает использоваться наравне с электронной, так как является источником сведений о трудовой деятельности до 2020 года. В настоящее время в электронной версии фиксируются только сведения начиная с 2020 года.</w:t>
      </w:r>
    </w:p>
    <w:p w14:paraId="06000000">
      <w:pPr>
        <w:pStyle w:val="Style_2"/>
      </w:pPr>
      <w:r>
        <w:t>Напомним, сейчас на рассмотрении в Госдуме находится проект федерального закона, который предусматривает для граждан возможность обратиться в органы ПФР с заявлением о включении в электронную трудовую книжку всех сведений о стаже за периоды до 1 января 2020 года.</w:t>
      </w:r>
    </w:p>
    <w:p w14:paraId="07000000">
      <w:pPr>
        <w:pStyle w:val="Style_2"/>
      </w:pPr>
      <w:r>
        <w:t>Тем работникам, кто оставит бумажную трудовую книжку, работодатель будет вносить сведения в оба документа - бумажный и электронный.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</w:t>
      </w:r>
    </w:p>
    <w:p w14:paraId="08000000">
      <w:pPr>
        <w:pStyle w:val="Style_2"/>
      </w:pPr>
      <w:r>
        <w:t>Гражданам, которые впервые устроятся на работу с 2021 года, все сведения о периодах работы изначально будут вестись только в электронном виде без оформления бумажной трудовой книжки.</w:t>
      </w:r>
    </w:p>
    <w:p w14:paraId="09000000">
      <w:pPr>
        <w:pStyle w:val="Style_2"/>
      </w:pPr>
      <w:r>
        <w:t>В настоящее время заявление о выборе ведения трудовой книжки в электронном виде подали 4,2 млн человек.</w:t>
      </w:r>
    </w:p>
    <w:p w14:paraId="0A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Index"/>
    <w:basedOn w:val="Style_1"/>
    <w:link w:val="Style_9_ch"/>
  </w:style>
  <w:style w:styleId="Style_9_ch" w:type="character">
    <w:name w:val="Index"/>
    <w:basedOn w:val="Style_1_ch"/>
    <w:link w:val="Style_9"/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"/>
    <w:basedOn w:val="Style_1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1_ch"/>
    <w:link w:val="Style_11"/>
    <w:rPr>
      <w:rFonts w:ascii="Liberation Sans" w:hAnsi="Liberation Sans"/>
      <w:sz w:val="28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List"/>
    <w:basedOn w:val="Style_2"/>
    <w:link w:val="Style_19_ch"/>
  </w:style>
  <w:style w:styleId="Style_19_ch" w:type="character">
    <w:name w:val="List"/>
    <w:basedOn w:val="Style_2_ch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Caption"/>
    <w:basedOn w:val="Style_1"/>
    <w:link w:val="Style_21_ch"/>
    <w:pPr>
      <w:spacing w:after="120" w:before="120"/>
      <w:ind/>
    </w:pPr>
    <w:rPr>
      <w:i w:val="1"/>
      <w:sz w:val="24"/>
    </w:rPr>
  </w:style>
  <w:style w:styleId="Style_21_ch" w:type="character">
    <w:name w:val="Caption"/>
    <w:basedOn w:val="Style_1_ch"/>
    <w:link w:val="Style_21"/>
    <w:rPr>
      <w:i w:val="1"/>
      <w:sz w:val="24"/>
    </w:rPr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