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Изменить решение о переводе пенсионных накоплений можно до 31 декабря.</w:t>
      </w:r>
    </w:p>
    <w:p w14:paraId="02000000">
      <w:pPr>
        <w:pStyle w:val="Style_2"/>
      </w:pPr>
      <w:r>
        <w:t>17 декабря 2020 11:26</w:t>
      </w:r>
    </w:p>
    <w:p w14:paraId="03000000">
      <w:pPr>
        <w:pStyle w:val="Style_3"/>
        <w:ind/>
        <w:jc w:val="both"/>
      </w:pPr>
      <w:r>
        <w:t>  Отделение ПФР по Республике Мордовия напоминает, что с 1 января 2019 года изменились способы подачи заявлений по управлению средствами пенсионных накоплений.</w:t>
      </w:r>
    </w:p>
    <w:p w14:paraId="04000000">
      <w:pPr>
        <w:pStyle w:val="Style_3"/>
        <w:ind/>
        <w:jc w:val="both"/>
      </w:pPr>
      <w:r>
        <w:t xml:space="preserve">  Прием заявлений о переходе или досрочном переходе в НПФ или ПФР </w:t>
      </w:r>
      <w:r>
        <w:rPr>
          <w:rStyle w:val="Style_4_ch"/>
        </w:rPr>
        <w:t> </w:t>
      </w:r>
      <w:r>
        <w:t>от граждан, решивших сменить страховщика по обязательному пенсионному страхованию, завершился 1 декабря текущего года.   </w:t>
      </w:r>
    </w:p>
    <w:p w14:paraId="05000000">
      <w:pPr>
        <w:pStyle w:val="Style_3"/>
        <w:ind/>
        <w:jc w:val="both"/>
      </w:pPr>
      <w:r>
        <w:t xml:space="preserve">  В случае, если гражданин передумал переводить пенсионные накопления страховщику, указанному в заявлениях, у него еще есть несколько дней, чтобы подать в ПФР уведомление об отказе от смены страховщика. Сделать это он может </w:t>
      </w:r>
      <w:r>
        <w:rPr>
          <w:rStyle w:val="Style_4_ch"/>
        </w:rPr>
        <w:t>до 31 декабря (включительно) 2020 года</w:t>
      </w:r>
      <w:r>
        <w:t>.</w:t>
      </w:r>
    </w:p>
    <w:p w14:paraId="06000000">
      <w:pPr>
        <w:pStyle w:val="Style_3"/>
        <w:ind/>
        <w:jc w:val="both"/>
      </w:pPr>
      <w:r>
        <w:t>  Отказаться от смены страховщика могут лишь те граждане, по заявлениям которых решения о переводе пенсионных накоплений ПФР еще не принял. Например, заявление о переходе ( пятилетнее) от одного страховщика к другому, поданное в 2016 году, подлежит рассмотрению Пенсионным фондом в срок до 1 марта 2021 года; заявление о переходе 2017 года - в 2022 году, заявление о досрочном переходе 2020 года будет рассмотрено ПФР в 2021 году.</w:t>
      </w:r>
    </w:p>
    <w:p w14:paraId="07000000">
      <w:pPr>
        <w:pStyle w:val="Style_3"/>
        <w:ind/>
        <w:jc w:val="both"/>
      </w:pPr>
      <w:r>
        <w:t>  Если гражданин направит в ПФР уведомление об отказе от смены страховщика,  то заявление о переходе (досрочном переходе), указанное в этом уведомлении, уже не будет рассматриваться Пенсионным фондом.</w:t>
      </w:r>
    </w:p>
    <w:p w14:paraId="08000000">
      <w:pPr>
        <w:pStyle w:val="Style_3"/>
        <w:ind/>
        <w:jc w:val="both"/>
      </w:pPr>
      <w:r>
        <w:t>  При отсутствии уведомления об отказе и наличии у гражданина двух и более не рассмотренных заявлений о смене страховщика, удовлетворению в 2021 году подлежит первое по дате заявление.</w:t>
      </w:r>
    </w:p>
    <w:p w14:paraId="09000000">
      <w:pPr>
        <w:pStyle w:val="Style_3"/>
        <w:ind/>
        <w:jc w:val="both"/>
      </w:pPr>
      <w:r>
        <w:t>  Подать в ПФР уведомления об отказе от смены страховщика можно двумя способами:</w:t>
      </w:r>
    </w:p>
    <w:p w14:paraId="0A000000">
      <w:pPr>
        <w:pStyle w:val="Style_3"/>
        <w:ind/>
        <w:jc w:val="both"/>
      </w:pPr>
      <w:r>
        <w:t>         - лично либо через представителя, действующего на основании нотариально удостоверенной доверенности, в любой территориальный орган ПФР (</w:t>
      </w:r>
      <w:r>
        <w:rPr>
          <w:rStyle w:val="Style_5_ch"/>
        </w:rPr>
        <w:t>предварительная запись на прием обязательна</w:t>
      </w:r>
      <w:r>
        <w:t>);</w:t>
      </w:r>
    </w:p>
    <w:p w14:paraId="0B000000">
      <w:pPr>
        <w:pStyle w:val="Style_3"/>
        <w:ind/>
        <w:jc w:val="both"/>
      </w:pPr>
      <w:r>
        <w:t>         - в форме электронного документа через Единый портал государственных и муниципальных услуг при наличии квалифицированной электронной подписи.</w:t>
      </w:r>
    </w:p>
    <w:p w14:paraId="0C000000">
      <w:pPr>
        <w:pStyle w:val="Style_3"/>
        <w:ind/>
        <w:jc w:val="both"/>
      </w:pPr>
      <w:r>
        <w:rPr>
          <w:u w:val="single"/>
        </w:rPr>
        <w:t>Для справки:</w:t>
      </w:r>
      <w:r>
        <w:rPr>
          <w:rStyle w:val="Style_5_ch"/>
        </w:rPr>
        <w:t xml:space="preserve"> страховщиком по обязательному пенсионному страхованию может быть Пенсионный фонд Российской Федерации (ПФР) и негосударственный пенсионный фонд (НПФ), который является участником системы гарантирования прав застрахованных лиц в системе обязательного пенсионного страхования. В настоящее время таких НПФ 29. Перечень действующих НПФ представлен на официальном сайте ПФР и на сайте Банка России.</w:t>
      </w:r>
    </w:p>
    <w:p w14:paraId="0D000000">
      <w:pPr>
        <w:pStyle w:val="Style_3"/>
        <w:numPr>
          <w:numId w:val="1"/>
        </w:numPr>
      </w:pPr>
    </w:p>
    <w:p w14:paraId="0E000000">
      <w:pPr>
        <w:pStyle w:val="Style_6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</w:style>
  <w:style w:default="1" w:styleId="Style_6_ch" w:type="character">
    <w:name w:val="Normal"/>
    <w:link w:val="Style_6"/>
  </w:style>
  <w:style w:styleId="Style_7" w:type="paragraph">
    <w:name w:val="toc 2"/>
    <w:next w:val="Style_6"/>
    <w:link w:val="Style_7_ch"/>
    <w:uiPriority w:val="39"/>
    <w:pPr>
      <w:ind w:firstLine="0" w:left="200"/>
    </w:pPr>
  </w:style>
  <w:style w:styleId="Style_7_ch" w:type="character">
    <w:name w:val="toc 2"/>
    <w:link w:val="Style_7"/>
  </w:style>
  <w:style w:styleId="Style_8" w:type="paragraph">
    <w:name w:val="toc 4"/>
    <w:next w:val="Style_6"/>
    <w:link w:val="Style_8_ch"/>
    <w:uiPriority w:val="39"/>
    <w:pPr>
      <w:ind w:firstLine="0" w:left="600"/>
    </w:pPr>
  </w:style>
  <w:style w:styleId="Style_8_ch" w:type="character">
    <w:name w:val="toc 4"/>
    <w:link w:val="Style_8"/>
  </w:style>
  <w:style w:styleId="Style_9" w:type="paragraph">
    <w:name w:val="toc 6"/>
    <w:next w:val="Style_6"/>
    <w:link w:val="Style_9_ch"/>
    <w:uiPriority w:val="39"/>
    <w:pPr>
      <w:ind w:firstLine="0" w:left="1000"/>
    </w:pPr>
  </w:style>
  <w:style w:styleId="Style_9_ch" w:type="character">
    <w:name w:val="toc 6"/>
    <w:link w:val="Style_9"/>
  </w:style>
  <w:style w:styleId="Style_10" w:type="paragraph">
    <w:name w:val="toc 7"/>
    <w:next w:val="Style_6"/>
    <w:link w:val="Style_10_ch"/>
    <w:uiPriority w:val="39"/>
    <w:pPr>
      <w:ind w:firstLine="0" w:left="1200"/>
    </w:pPr>
  </w:style>
  <w:style w:styleId="Style_10_ch" w:type="character">
    <w:name w:val="toc 7"/>
    <w:link w:val="Style_10"/>
  </w:style>
  <w:style w:styleId="Style_2" w:type="paragraph">
    <w:name w:val="heading 3"/>
    <w:basedOn w:val="Style_11"/>
    <w:next w:val="Style_3"/>
    <w:link w:val="Style_2_ch"/>
    <w:uiPriority w:val="9"/>
    <w:qFormat/>
    <w:pPr>
      <w:spacing w:after="120" w:before="140"/>
      <w:ind/>
      <w:outlineLvl w:val="2"/>
    </w:pPr>
    <w:rPr>
      <w:rFonts w:ascii="Liberation Serif" w:hAnsi="Liberation Serif"/>
      <w:b w:val="1"/>
      <w:color w:val="808080"/>
      <w:sz w:val="28"/>
    </w:rPr>
  </w:style>
  <w:style w:styleId="Style_2_ch" w:type="character">
    <w:name w:val="heading 3"/>
    <w:basedOn w:val="Style_11_ch"/>
    <w:link w:val="Style_2"/>
    <w:rPr>
      <w:rFonts w:ascii="Liberation Serif" w:hAnsi="Liberation Serif"/>
      <w:b w:val="1"/>
      <w:color w:val="808080"/>
      <w:sz w:val="28"/>
    </w:rPr>
  </w:style>
  <w:style w:styleId="Style_3" w:type="paragraph">
    <w:name w:val="Text body"/>
    <w:basedOn w:val="Style_6"/>
    <w:link w:val="Style_3_ch"/>
    <w:pPr>
      <w:spacing w:after="140" w:before="0" w:line="288" w:lineRule="auto"/>
      <w:ind/>
    </w:pPr>
  </w:style>
  <w:style w:styleId="Style_3_ch" w:type="character">
    <w:name w:val="Text body"/>
    <w:basedOn w:val="Style_6_ch"/>
    <w:link w:val="Style_3"/>
  </w:style>
  <w:style w:styleId="Style_11" w:type="paragraph">
    <w:name w:val="Heading"/>
    <w:basedOn w:val="Style_6"/>
    <w:next w:val="Style_3"/>
    <w:link w:val="Style_1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1_ch" w:type="character">
    <w:name w:val="Heading"/>
    <w:basedOn w:val="Style_6_ch"/>
    <w:link w:val="Style_11"/>
    <w:rPr>
      <w:rFonts w:ascii="Liberation Sans" w:hAnsi="Liberation Sans"/>
      <w:sz w:val="28"/>
    </w:rPr>
  </w:style>
  <w:style w:styleId="Style_12" w:type="paragraph">
    <w:name w:val="toc 3"/>
    <w:next w:val="Style_6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4" w:type="paragraph">
    <w:name w:val="Strong Emphasis"/>
    <w:link w:val="Style_4_ch"/>
    <w:rPr>
      <w:b w:val="1"/>
    </w:rPr>
  </w:style>
  <w:style w:styleId="Style_4_ch" w:type="character">
    <w:name w:val="Strong Emphasis"/>
    <w:link w:val="Style_4"/>
    <w:rPr>
      <w:b w:val="1"/>
    </w:rPr>
  </w:style>
  <w:style w:styleId="Style_13" w:type="paragraph">
    <w:name w:val="heading 5"/>
    <w:next w:val="Style_6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1"/>
    <w:next w:val="Style_3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1_ch"/>
    <w:link w:val="Style_1"/>
    <w:rPr>
      <w:rFonts w:ascii="Liberation Serif" w:hAnsi="Liberation Serif"/>
      <w:b w:val="1"/>
      <w:sz w:val="48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6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Bullet Symbols"/>
    <w:link w:val="Style_17_ch"/>
    <w:rPr>
      <w:rFonts w:ascii="OpenSymbol" w:hAnsi="OpenSymbol"/>
    </w:rPr>
  </w:style>
  <w:style w:styleId="Style_17_ch" w:type="character">
    <w:name w:val="Bullet Symbols"/>
    <w:link w:val="Style_17"/>
    <w:rPr>
      <w:rFonts w:ascii="OpenSymbol" w:hAnsi="OpenSymbol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List"/>
    <w:basedOn w:val="Style_3"/>
    <w:link w:val="Style_19_ch"/>
  </w:style>
  <w:style w:styleId="Style_19_ch" w:type="character">
    <w:name w:val="List"/>
    <w:basedOn w:val="Style_3_ch"/>
    <w:link w:val="Style_19"/>
  </w:style>
  <w:style w:styleId="Style_20" w:type="paragraph">
    <w:name w:val="toc 9"/>
    <w:next w:val="Style_6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6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Index"/>
    <w:basedOn w:val="Style_6"/>
    <w:link w:val="Style_22_ch"/>
  </w:style>
  <w:style w:styleId="Style_22_ch" w:type="character">
    <w:name w:val="Index"/>
    <w:basedOn w:val="Style_6_ch"/>
    <w:link w:val="Style_22"/>
  </w:style>
  <w:style w:styleId="Style_23" w:type="paragraph">
    <w:name w:val="toc 5"/>
    <w:next w:val="Style_6"/>
    <w:link w:val="Style_23_ch"/>
    <w:uiPriority w:val="39"/>
    <w:pPr>
      <w:ind w:firstLine="0" w:left="800"/>
    </w:pPr>
  </w:style>
  <w:style w:styleId="Style_23_ch" w:type="character">
    <w:name w:val="toc 5"/>
    <w:link w:val="Style_23"/>
  </w:style>
  <w:style w:styleId="Style_24" w:type="paragraph">
    <w:name w:val="Subtitle"/>
    <w:next w:val="Style_6"/>
    <w:link w:val="Style_24_ch"/>
    <w:uiPriority w:val="11"/>
    <w:qFormat/>
    <w:rPr>
      <w:rFonts w:ascii="XO Thames" w:hAnsi="XO Thames"/>
      <w:i w:val="1"/>
      <w:color w:val="616161"/>
      <w:sz w:val="24"/>
    </w:rPr>
  </w:style>
  <w:style w:styleId="Style_24_ch" w:type="character">
    <w:name w:val="Subtitle"/>
    <w:link w:val="Style_24"/>
    <w:rPr>
      <w:rFonts w:ascii="XO Thames" w:hAnsi="XO Thames"/>
      <w:i w:val="1"/>
      <w:color w:val="616161"/>
      <w:sz w:val="24"/>
    </w:rPr>
  </w:style>
  <w:style w:styleId="Style_25" w:type="paragraph">
    <w:name w:val="toc 10"/>
    <w:next w:val="Style_6"/>
    <w:link w:val="Style_25_ch"/>
    <w:uiPriority w:val="39"/>
    <w:pPr>
      <w:ind w:firstLine="0" w:left="1800"/>
    </w:pPr>
  </w:style>
  <w:style w:styleId="Style_25_ch" w:type="character">
    <w:name w:val="toc 10"/>
    <w:link w:val="Style_25"/>
  </w:style>
  <w:style w:styleId="Style_26" w:type="paragraph">
    <w:name w:val="Title"/>
    <w:next w:val="Style_6"/>
    <w:link w:val="Style_26_ch"/>
    <w:uiPriority w:val="10"/>
    <w:qFormat/>
    <w:rPr>
      <w:rFonts w:ascii="XO Thames" w:hAnsi="XO Thames"/>
      <w:b w:val="1"/>
      <w:sz w:val="52"/>
    </w:rPr>
  </w:style>
  <w:style w:styleId="Style_26_ch" w:type="character">
    <w:name w:val="Title"/>
    <w:link w:val="Style_26"/>
    <w:rPr>
      <w:rFonts w:ascii="XO Thames" w:hAnsi="XO Thames"/>
      <w:b w:val="1"/>
      <w:sz w:val="52"/>
    </w:rPr>
  </w:style>
  <w:style w:styleId="Style_27" w:type="paragraph">
    <w:name w:val="heading 4"/>
    <w:next w:val="Style_6"/>
    <w:link w:val="Style_27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7_ch" w:type="character">
    <w:name w:val="heading 4"/>
    <w:link w:val="Style_27"/>
    <w:rPr>
      <w:rFonts w:ascii="XO Thames" w:hAnsi="XO Thames"/>
      <w:b w:val="1"/>
      <w:color w:val="595959"/>
      <w:sz w:val="26"/>
    </w:rPr>
  </w:style>
  <w:style w:styleId="Style_5" w:type="paragraph">
    <w:name w:val="Emphasis"/>
    <w:link w:val="Style_5_ch"/>
    <w:rPr>
      <w:i w:val="1"/>
    </w:rPr>
  </w:style>
  <w:style w:styleId="Style_5_ch" w:type="character">
    <w:name w:val="Emphasis"/>
    <w:link w:val="Style_5"/>
    <w:rPr>
      <w:i w:val="1"/>
    </w:rPr>
  </w:style>
  <w:style w:styleId="Style_28" w:type="paragraph">
    <w:name w:val="Caption"/>
    <w:basedOn w:val="Style_6"/>
    <w:link w:val="Style_28_ch"/>
    <w:pPr>
      <w:spacing w:after="120" w:before="120"/>
      <w:ind/>
    </w:pPr>
    <w:rPr>
      <w:i w:val="1"/>
      <w:sz w:val="24"/>
    </w:rPr>
  </w:style>
  <w:style w:styleId="Style_28_ch" w:type="character">
    <w:name w:val="Caption"/>
    <w:basedOn w:val="Style_6_ch"/>
    <w:link w:val="Style_28"/>
    <w:rPr>
      <w:i w:val="1"/>
      <w:sz w:val="24"/>
    </w:rPr>
  </w:style>
  <w:style w:styleId="Style_29" w:type="paragraph">
    <w:name w:val="heading 2"/>
    <w:next w:val="Style_6"/>
    <w:link w:val="Style_29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9_ch" w:type="character">
    <w:name w:val="heading 2"/>
    <w:link w:val="Style_29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