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Социальная доплата до уровня прожиточного минимума пенсионера</w:t>
      </w:r>
    </w:p>
    <w:p w14:paraId="02000000">
      <w:pPr>
        <w:pStyle w:val="Style_2"/>
      </w:pPr>
      <w:r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установленной в регионе проживания пенсионера.</w:t>
      </w:r>
    </w:p>
    <w:p w14:paraId="03000000">
      <w:pPr>
        <w:pStyle w:val="Style_2"/>
      </w:pPr>
      <w:r>
        <w:t>Федеральная социальная доплата выплачивается территориальными органами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установленной в регионе проживания, которая, в свою очередь, не достигает величины прожиточного минимума пенсионера в целом по Российской Федерации.</w:t>
      </w:r>
    </w:p>
    <w:p w14:paraId="04000000">
      <w:pPr>
        <w:pStyle w:val="Style_2"/>
      </w:pPr>
      <w:r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 w14:paraId="05000000">
      <w:pPr>
        <w:pStyle w:val="Style_2"/>
      </w:pPr>
      <w: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14:paraId="06000000">
      <w:pPr>
        <w:pStyle w:val="Style_2"/>
        <w:numPr>
          <w:numId w:val="1"/>
        </w:numPr>
        <w:spacing w:after="0" w:before="0"/>
        <w:ind/>
      </w:pPr>
      <w:r>
        <w:t xml:space="preserve">пенсий, в том числе в случае отказа пенсионера от получения указанных пенсий; </w:t>
      </w:r>
    </w:p>
    <w:p w14:paraId="07000000">
      <w:pPr>
        <w:pStyle w:val="Style_2"/>
        <w:numPr>
          <w:numId w:val="1"/>
        </w:numPr>
        <w:spacing w:after="0" w:before="0"/>
        <w:ind/>
      </w:pPr>
      <w:r>
        <w:t xml:space="preserve">срочной пенсионной выплаты; </w:t>
      </w:r>
    </w:p>
    <w:p w14:paraId="08000000">
      <w:pPr>
        <w:pStyle w:val="Style_2"/>
        <w:numPr>
          <w:numId w:val="1"/>
        </w:numPr>
        <w:spacing w:after="0" w:before="0"/>
        <w:ind/>
      </w:pPr>
      <w:r>
        <w:t xml:space="preserve">дополнительного материального (социального) обеспечения; </w:t>
      </w:r>
    </w:p>
    <w:p w14:paraId="09000000">
      <w:pPr>
        <w:pStyle w:val="Style_2"/>
        <w:numPr>
          <w:numId w:val="1"/>
        </w:numPr>
        <w:spacing w:after="0" w:before="0"/>
        <w:ind/>
      </w:pPr>
      <w:r>
        <w:t xml:space="preserve">ежемесячной денежной выплаты (включая стоимость набора социальных услуг); </w:t>
      </w:r>
    </w:p>
    <w:p w14:paraId="0A000000">
      <w:pPr>
        <w:pStyle w:val="Style_2"/>
        <w:numPr>
          <w:numId w:val="1"/>
        </w:numPr>
      </w:pPr>
      <w:r>
        <w:t xml:space="preserve"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 </w:t>
      </w:r>
    </w:p>
    <w:p w14:paraId="0B000000">
      <w:pPr>
        <w:pStyle w:val="Style_2"/>
      </w:pPr>
      <w: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 w14:paraId="0C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Bullet Symbols"/>
    <w:link w:val="Style_11_ch"/>
    <w:rPr>
      <w:rFonts w:ascii="OpenSymbol" w:hAnsi="OpenSymbol"/>
    </w:rPr>
  </w:style>
  <w:style w:styleId="Style_11_ch" w:type="character">
    <w:name w:val="Bullet Symbols"/>
    <w:link w:val="Style_11"/>
    <w:rPr>
      <w:rFonts w:ascii="OpenSymbol" w:hAnsi="OpenSymbol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4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4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14" w:type="paragraph">
    <w:name w:val="Heading"/>
    <w:basedOn w:val="Style_3"/>
    <w:next w:val="Style_2"/>
    <w:link w:val="Style_1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Heading"/>
    <w:basedOn w:val="Style_3_ch"/>
    <w:link w:val="Style_14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