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Пенсионному фонду России 30 лет!</w:t>
      </w:r>
    </w:p>
    <w:p w14:paraId="02000000">
      <w:pPr>
        <w:pStyle w:val="Style_1"/>
      </w:pPr>
      <w:r>
        <w:t xml:space="preserve">22.12.2020 </w:t>
      </w:r>
      <w:r>
        <w:rPr>
          <w:color w:val="000000"/>
        </w:rPr>
        <w:t xml:space="preserve">Новости ПФР </w:t>
      </w:r>
    </w:p>
    <w:p w14:paraId="03000000">
      <w:pPr>
        <w:pStyle w:val="Style_1"/>
      </w:pPr>
      <w:r>
        <w:t xml:space="preserve"> </w:t>
      </w:r>
    </w:p>
    <w:p w14:paraId="04000000">
      <w:pPr>
        <w:pStyle w:val="Style_2"/>
      </w:pPr>
      <w:r>
        <w:t>Пенсионный фонд России – один из трех государственных внебюджетных фондов, который был основан 30 лет назад для осуществления пенсионного страхования в Российской Федерации. На протяжении многих лет фонд выступает ключевым социальным институтом страны и крупнейшей федеральной системой оказания государственных услуг в области социального обеспечения.</w:t>
      </w:r>
    </w:p>
    <w:p w14:paraId="05000000">
      <w:pPr>
        <w:pStyle w:val="Style_2"/>
      </w:pPr>
      <w:r>
        <w:t>Назначение и выплата пенсий 43,3 млн пенсионеров. Свыше 8 трлн рублей выплат Получателями пенсий по линии Пенсионного фонда России являются 43,3 млн пенсионеров. Свыше 8 трлн рублей в год составляют пенсионные выплаты гражданам.</w:t>
      </w:r>
    </w:p>
    <w:p w14:paraId="06000000">
      <w:pPr>
        <w:pStyle w:val="Style_2"/>
      </w:pPr>
      <w:r>
        <w:t>Учет пенсионных прав Ведение 156 млн лицевых счетов граждан Пенсионный фонд России ведет систему учета пенсионных прав, в которой открыто 156 млн лицевых счетов российских и иностранных граждан. В течение года фонд обновляет около 63 млн счетов в соответствии с информацией о поступивших страховых взносах на пенсию и приобретенном стаже.</w:t>
      </w:r>
    </w:p>
    <w:p w14:paraId="07000000">
      <w:pPr>
        <w:pStyle w:val="Style_2"/>
      </w:pPr>
      <w:r>
        <w:t>Назначение социальных выплат по федеральным льготам 20 млн получателей. Свыше 500 млрд рублей выплат 20 млн россиян, имеющих право на федеральные льготы: ветеранов Великой Отечественной войны и ветеранов боевых действий, инвалидов и инвалидов войны, Героев России и СССР – получают социальные выплаты Пенсионного фонда.</w:t>
      </w:r>
    </w:p>
    <w:p w14:paraId="08000000">
      <w:pPr>
        <w:pStyle w:val="Style_2"/>
      </w:pPr>
      <w:r>
        <w:t>Формирование пенсионных накоплений 39 млн будущих и нынешних пенсионеров. 1,9 трлн рублей накопленных средств Пенсионный фонд России формирует накопительную пенсию 39 млн человек, чьи совокупные средства составляют 1,9 трлн рублей.</w:t>
      </w:r>
    </w:p>
    <w:p w14:paraId="09000000">
      <w:pPr>
        <w:pStyle w:val="Style_2"/>
      </w:pPr>
      <w:r>
        <w:t>Предоставление государственных услуг Более 100 млн услуг в год, 78% – электронных Пенсионный фонд России предоставляет более 100 млн государственных услуг в год, 78% из которых оказывается дистанционно с использованием электронных сервисов.</w:t>
      </w:r>
    </w:p>
    <w:p w14:paraId="0A000000">
      <w:pPr>
        <w:pStyle w:val="Style_2"/>
      </w:pPr>
      <w:r>
        <w:t>Реализация программы материнского капитала Более 10,5 млн выданных сертификатов. 2,75 трлн рублей поддержки В соответствии с национальным проектом «Демография» Пенсионный фонд России реализует программу материнского капитала для миллионов российских семей с детьми. Получателями поддержки по программе уже стали более 7,5 млн семей, а всего фонд выдал свыше 10,5 млн сертификатов на материнский капитал.</w:t>
      </w:r>
    </w:p>
    <w:p w14:paraId="0B000000">
      <w:pPr>
        <w:pStyle w:val="Style_2"/>
      </w:pPr>
      <w:r>
        <w:t>Реализация программы софинансирования пенсионных накоплений 2,5 млн участников. 130 млрд рублей сформированных средств 2,5 млн россиян формируют добровольную пенсию с участием государства по программе софинансирования пенсионных накоплений. С учетом взносов участников на свою пенсию и софинансирования Пенсионного фонда, общая сумма средств по программе превысила 130 млрд рублей.</w:t>
      </w:r>
    </w:p>
    <w:p w14:paraId="0C000000">
      <w:pPr>
        <w:pStyle w:val="Style_2"/>
      </w:pPr>
      <w:r>
        <w:t>Учет социальных прав и мер государственной поддержки Информация обо всех действующих в России льготах и социальных выплатах Пенсионный фонд ведет крупнейшую в России единую информационную систему социального обеспечения (ЕГИССО), которая охватывает информацию обо всех социальных льготах и мерах поддержки в стране, а также их получателях.</w:t>
      </w:r>
    </w:p>
    <w:p w14:paraId="0D000000">
      <w:pPr>
        <w:pStyle w:val="Style_2"/>
      </w:pPr>
      <w:r>
        <w:t>Международное сотрудничество Работа с международными организациями и выплата пенсий по всему миру Пенсионный фонд ежегодно развивает сотрудничество с иностранными институтами и организациями для укрепления позиций России в области пенсионного страхования и социального обеспечения. Выплаты фонда в рамках системы сохранения пенсионных прав получают российские пенсионеры, проживающие в 123 странах мира.</w:t>
      </w:r>
    </w:p>
    <w:p w14:paraId="0E000000">
      <w:pPr>
        <w:pStyle w:val="Style_2"/>
      </w:pPr>
      <w:r>
        <w:br/>
      </w: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1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1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1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Caption"/>
    <w:basedOn w:val="Style_1"/>
    <w:link w:val="Style_8_ch"/>
    <w:pPr>
      <w:spacing w:after="120" w:before="120"/>
      <w:ind/>
    </w:pPr>
    <w:rPr>
      <w:i w:val="1"/>
      <w:sz w:val="24"/>
    </w:rPr>
  </w:style>
  <w:style w:styleId="Style_8_ch" w:type="character">
    <w:name w:val="Caption"/>
    <w:basedOn w:val="Style_1_ch"/>
    <w:link w:val="Style_8"/>
    <w:rPr>
      <w:i w:val="1"/>
      <w:sz w:val="24"/>
    </w:rPr>
  </w:style>
  <w:style w:styleId="Style_9" w:type="paragraph">
    <w:name w:val="Heading"/>
    <w:basedOn w:val="Style_1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heading 1"/>
    <w:next w:val="Style_1"/>
    <w:link w:val="Style_12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2_ch" w:type="character">
    <w:name w:val="heading 1"/>
    <w:link w:val="Style_12"/>
    <w:rPr>
      <w:rFonts w:ascii="XO Thames" w:hAnsi="XO Thames"/>
      <w:b w:val="1"/>
      <w:sz w:val="32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1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Index"/>
    <w:basedOn w:val="Style_1"/>
    <w:link w:val="Style_16_ch"/>
  </w:style>
  <w:style w:styleId="Style_16_ch" w:type="character">
    <w:name w:val="Index"/>
    <w:basedOn w:val="Style_1_ch"/>
    <w:link w:val="Style_16"/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1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1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1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1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1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List"/>
    <w:basedOn w:val="Style_2"/>
    <w:link w:val="Style_26_ch"/>
  </w:style>
  <w:style w:styleId="Style_26_ch" w:type="character">
    <w:name w:val="List"/>
    <w:basedOn w:val="Style_2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