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Дума ТВ, 11.01.2021, 18:36, Бессараб: «расширенная» электронная трудовая упростит поиск работы</w:t>
      </w:r>
    </w:p>
    <w:p w14:paraId="02000000">
      <w:pPr>
        <w:pStyle w:val="Style_2"/>
      </w:pPr>
      <w:r>
        <w:t>Приведение электронных трудовых в полное соответствие с бумажным вариантом поможет россиянам в дистанционном поиске работы, отметила член Комитета по труду, социальной политике и делам ветеранов Светлана Бессараб.</w:t>
      </w:r>
    </w:p>
    <w:p w14:paraId="03000000">
      <w:pPr>
        <w:pStyle w:val="Style_2"/>
      </w:pPr>
      <w:r>
        <w:t xml:space="preserve">«Сведения о трудовой деятельности поступают на индивидуальный лицевой счет в </w:t>
      </w:r>
      <w:r>
        <w:rPr>
          <w:b w:val="1"/>
        </w:rPr>
        <w:t>ПФР</w:t>
      </w:r>
      <w:r>
        <w:t xml:space="preserve"> начиная с 1 января 2020 года. У тех же граждан, у кого есть трудовой стаж до этого периода, вскоре появится возможность поручить </w:t>
      </w:r>
      <w:r>
        <w:rPr>
          <w:b w:val="1"/>
        </w:rPr>
        <w:t>Пенсионному фонду</w:t>
      </w:r>
      <w:r>
        <w:t xml:space="preserve"> РФ внести такие сведения в индивидуальный лицевой счет за период, предшествующий указанной дате», объяснила Бессараб.</w:t>
      </w:r>
    </w:p>
    <w:p w14:paraId="04000000">
      <w:pPr>
        <w:pStyle w:val="Style_2"/>
      </w:pPr>
      <w:r>
        <w:t>Это поможет россиянам в дистанционном поиске работы и «удаленной» постановке на учет в качестве безработных — по словам депутата, пандемия показала, насколько востребованы такие госуслуги: электронный документооборот ускоряет поиск подходящих вакансий и ресурсов, в том числе в других регионах РФ.</w:t>
      </w:r>
    </w:p>
    <w:p w14:paraId="05000000">
      <w:pPr>
        <w:pStyle w:val="Style_2"/>
      </w:pPr>
      <w:r>
        <w:t xml:space="preserve">Более того, по словам парламентария, профильный комитет Госдумы ведет переговоры с Минтруда по поводу включения в ИЛС граждан сведений о награждениях трудящихся. Отсутствие сведений о наградах — единственное отличие «сведений о трудовой деятельности», которые собирает </w:t>
      </w:r>
      <w:r>
        <w:rPr>
          <w:b w:val="1"/>
        </w:rPr>
        <w:t>ПФР</w:t>
      </w:r>
      <w:r>
        <w:t>, от бумажной трудовой книжки, но для многих россиян это очень важные сведения.</w:t>
      </w:r>
    </w:p>
    <w:p w14:paraId="06000000">
      <w:pPr>
        <w:pStyle w:val="Style_2"/>
      </w:pPr>
      <w:r>
        <w:t>«Для многих это очень важный аспект, который должен быть обязательно зарегистрирован в дальнейшей трудовой деятельности», отметила Бессараб.</w:t>
      </w:r>
    </w:p>
    <w:p w14:paraId="07000000">
      <w:pPr>
        <w:pStyle w:val="Style_2"/>
      </w:pPr>
      <w:r>
        <w:t>Напомним, что законопроект о праве россиян на включение в индивидуальные лицевые счета сведений о трудовой деятельности согласно записям в бумажной трудовой принят Государственной Думой в первом чтении 23 декабря.</w:t>
      </w:r>
    </w:p>
    <w:p w14:paraId="08000000">
      <w:pPr>
        <w:pStyle w:val="Style_2"/>
      </w:pPr>
      <w:r>
        <w:t xml:space="preserve">Электронные трудовые — свежее нововведение и его новизной, по словам Бессараб, объясняется невысокий уровень доверия к трудовой «цифре» со стороны работающих россиян. Так она прокомментировала статистику </w:t>
      </w:r>
      <w:r>
        <w:rPr>
          <w:b w:val="1"/>
        </w:rPr>
        <w:t>ПФР</w:t>
      </w:r>
      <w:r>
        <w:t xml:space="preserve"> РФ, согласно которой на 29 декабря 2020 года из 58 млн застрахованных граждан 34,88 млн выбрали бумажную версию трудовой книжки, и только 5,17 млн граждан подали заявления о формировании сведений о трудовой деятельности в электронном виде.</w:t>
      </w:r>
    </w:p>
    <w:p w14:paraId="09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Heading"/>
    <w:basedOn w:val="Style_3"/>
    <w:next w:val="Style_2"/>
    <w:link w:val="Style_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4_ch" w:type="character">
    <w:name w:val="Heading"/>
    <w:basedOn w:val="Style_3_ch"/>
    <w:link w:val="Style_4"/>
    <w:rPr>
      <w:rFonts w:ascii="Liberation Sans" w:hAnsi="Liberation Sans"/>
      <w:sz w:val="28"/>
    </w:rPr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Index"/>
    <w:basedOn w:val="Style_3"/>
    <w:link w:val="Style_18_ch"/>
  </w:style>
  <w:style w:styleId="Style_18_ch" w:type="character">
    <w:name w:val="Index"/>
    <w:basedOn w:val="Style_3_ch"/>
    <w:link w:val="Style_18"/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Caption"/>
    <w:basedOn w:val="Style_3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3_ch"/>
    <w:link w:val="Style_21"/>
    <w:rPr>
      <w:i w:val="1"/>
      <w:sz w:val="24"/>
    </w:rPr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4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4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