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D3C" w:rsidRDefault="008659D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ТАСС, 20.01.2021, 11:25, Комитет Госдумы одобрил </w:t>
      </w:r>
    </w:p>
    <w:p w:rsidR="00B13D3C" w:rsidRDefault="008659D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расширение возможностей размещения пенсионных </w:t>
      </w:r>
    </w:p>
    <w:p w:rsidR="00B13D3C" w:rsidRDefault="008659DF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накоплений</w:t>
      </w:r>
    </w:p>
    <w:p w:rsidR="008659DF" w:rsidRDefault="008659DF">
      <w:pPr>
        <w:rPr>
          <w:rFonts w:ascii="sans-serif" w:hAnsi="sans-serif"/>
          <w:sz w:val="30"/>
          <w:lang w:val="en-US"/>
        </w:rPr>
      </w:pPr>
    </w:p>
    <w:p w:rsidR="00B13D3C" w:rsidRDefault="008659D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Комитет Госдумы по финансовому рынку рекомендовал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нижней палате парламента принять в первом чтении законопроект, </w:t>
      </w:r>
      <w:r>
        <w:rPr>
          <w:rFonts w:ascii="sans-serif" w:hAnsi="sans-serif"/>
          <w:sz w:val="30"/>
        </w:rPr>
        <w:t>позволяющий</w:t>
      </w:r>
    </w:p>
    <w:p w:rsidR="00B13D3C" w:rsidRDefault="008659D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размещать средства </w:t>
      </w:r>
      <w:r>
        <w:rPr>
          <w:rFonts w:ascii="sans-serif" w:hAnsi="sans-serif"/>
          <w:sz w:val="30"/>
        </w:rPr>
        <w:t>пенсионных накоплений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депозиты в небанковских кредитных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организациях, осуществляющих функции центрального контрагента. Документ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инициирован группой депутатов во главе с председателем комитета Госдумы по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финансовому рынку А</w:t>
      </w:r>
      <w:r>
        <w:rPr>
          <w:rFonts w:ascii="sans-serif" w:hAnsi="sans-serif"/>
          <w:sz w:val="30"/>
        </w:rPr>
        <w:t>натолием Аксаковым.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Сейчас законом допускается возможность размещения средств 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накоплений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депозиты в рублях и иностранной валюте в кредитных организациях,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которые отвечают требованиям, установленным законодательством РФ к кредитным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организация</w:t>
      </w:r>
      <w:r>
        <w:rPr>
          <w:rFonts w:ascii="sans-serif" w:hAnsi="sans-serif"/>
          <w:sz w:val="30"/>
        </w:rPr>
        <w:t>м - участникам системы обязательного страхования вкладов в банках РФ.</w:t>
      </w:r>
    </w:p>
    <w:p w:rsidR="00B13D3C" w:rsidRDefault="008659D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Части требований небанковская кредитная организация - центральный контрагент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соответствовать может, отмечают авторы документа.</w:t>
      </w:r>
    </w:p>
    <w:p w:rsidR="00B13D3C" w:rsidRPr="008659DF" w:rsidRDefault="008659D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"Ставки на рынке депозитов с центральным контрагентом, как </w:t>
      </w:r>
      <w:r>
        <w:rPr>
          <w:rFonts w:ascii="sans-serif" w:hAnsi="sans-serif"/>
          <w:sz w:val="30"/>
        </w:rPr>
        <w:t>правило, превышают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стандартные ставки на банковских депозитах, что позволяет участникам данного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сегмента денежного рынка размещать свои денежные средства на наиболее выгодных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условиях", - говорится в пояснительной записке.</w:t>
      </w:r>
      <w:r w:rsidRPr="008659DF">
        <w:rPr>
          <w:rFonts w:ascii="sans-serif" w:hAnsi="sans-serif"/>
          <w:sz w:val="30"/>
        </w:rPr>
        <w:t xml:space="preserve"> </w:t>
      </w:r>
    </w:p>
    <w:p w:rsidR="00B13D3C" w:rsidRDefault="008659D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соответствии с законодательство</w:t>
      </w:r>
      <w:r>
        <w:rPr>
          <w:rFonts w:ascii="sans-serif" w:hAnsi="sans-serif"/>
          <w:sz w:val="30"/>
        </w:rPr>
        <w:t>м, размещать средства на депозитах в центральном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контрагенте возможно в ходе организованных торгов при условии одновременного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привлечения указанных средств по договорам </w:t>
      </w:r>
      <w:proofErr w:type="spellStart"/>
      <w:r>
        <w:rPr>
          <w:rFonts w:ascii="sans-serif" w:hAnsi="sans-serif"/>
          <w:sz w:val="30"/>
        </w:rPr>
        <w:t>репо</w:t>
      </w:r>
      <w:proofErr w:type="spellEnd"/>
      <w:r>
        <w:rPr>
          <w:rFonts w:ascii="sans-serif" w:hAnsi="sans-serif"/>
          <w:sz w:val="30"/>
        </w:rPr>
        <w:t>. Центральный контрагент при этом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гарантирует исполнение обязательств по сделкам, к</w:t>
      </w:r>
      <w:r>
        <w:rPr>
          <w:rFonts w:ascii="sans-serif" w:hAnsi="sans-serif"/>
          <w:sz w:val="30"/>
        </w:rPr>
        <w:t>оторые заключаются в результате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сведения заявок от участников рынка на размещение сре</w:t>
      </w:r>
      <w:proofErr w:type="gramStart"/>
      <w:r>
        <w:rPr>
          <w:rFonts w:ascii="sans-serif" w:hAnsi="sans-serif"/>
          <w:sz w:val="30"/>
        </w:rPr>
        <w:t>дств в д</w:t>
      </w:r>
      <w:proofErr w:type="gramEnd"/>
      <w:r>
        <w:rPr>
          <w:rFonts w:ascii="sans-serif" w:hAnsi="sans-serif"/>
          <w:sz w:val="30"/>
        </w:rPr>
        <w:t>епозиты с заявками</w:t>
      </w:r>
    </w:p>
    <w:p w:rsidR="00B13D3C" w:rsidRDefault="008659DF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репо</w:t>
      </w:r>
      <w:proofErr w:type="spellEnd"/>
      <w:r>
        <w:rPr>
          <w:rFonts w:ascii="sans-serif" w:hAnsi="sans-serif"/>
          <w:sz w:val="30"/>
        </w:rPr>
        <w:t xml:space="preserve"> на привлечение средств, указывают авторы документа.</w:t>
      </w:r>
    </w:p>
    <w:p w:rsidR="00B13D3C" w:rsidRDefault="008659D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Кроме того, законопроект дополняет перечень активов, в которые возможно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инвестировать средства 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>
        <w:rPr>
          <w:rFonts w:ascii="sans-serif" w:hAnsi="sans-serif"/>
          <w:sz w:val="30"/>
        </w:rPr>
        <w:t>, клиринговыми сертификатами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участия (КСУ). "</w:t>
      </w:r>
      <w:proofErr w:type="spellStart"/>
      <w:r>
        <w:rPr>
          <w:rFonts w:ascii="sans-serif" w:hAnsi="sans-serif"/>
          <w:sz w:val="30"/>
        </w:rPr>
        <w:t>Репо</w:t>
      </w:r>
      <w:proofErr w:type="spellEnd"/>
      <w:r>
        <w:rPr>
          <w:rFonts w:ascii="sans-serif" w:hAnsi="sans-serif"/>
          <w:sz w:val="30"/>
        </w:rPr>
        <w:t xml:space="preserve"> с КСУ является в настоящее время самым ликвидным сегментом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российского денежного рынка, количество участников на котором превышает 240,</w:t>
      </w:r>
      <w:r w:rsidRPr="008659DF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среди которых банки, бро</w:t>
      </w:r>
      <w:r>
        <w:rPr>
          <w:rFonts w:ascii="sans-serif" w:hAnsi="sans-serif"/>
          <w:sz w:val="30"/>
        </w:rPr>
        <w:t>керы, а также нефинансовые корпорации. Так как операции</w:t>
      </w:r>
    </w:p>
    <w:p w:rsidR="00B13D3C" w:rsidRDefault="008659DF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проводятся через центрального контрагента, данный сегмент обеспечивает не только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максимальную ликвидность, но и надежность", - говорится в сопроводительных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материалах к документу.</w:t>
      </w:r>
    </w:p>
    <w:p w:rsidR="00B13D3C" w:rsidRDefault="00B13D3C"/>
    <w:sectPr w:rsidR="00B13D3C" w:rsidSect="00B13D3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/>
  <w:rsids>
    <w:rsidRoot w:val="00B13D3C"/>
    <w:rsid w:val="008659DF"/>
    <w:rsid w:val="00B13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13D3C"/>
  </w:style>
  <w:style w:type="paragraph" w:styleId="10">
    <w:name w:val="heading 1"/>
    <w:next w:val="a"/>
    <w:link w:val="11"/>
    <w:uiPriority w:val="9"/>
    <w:qFormat/>
    <w:rsid w:val="00B13D3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13D3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13D3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13D3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13D3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13D3C"/>
  </w:style>
  <w:style w:type="paragraph" w:styleId="21">
    <w:name w:val="toc 2"/>
    <w:next w:val="a"/>
    <w:link w:val="22"/>
    <w:uiPriority w:val="39"/>
    <w:rsid w:val="00B13D3C"/>
    <w:pPr>
      <w:ind w:left="200"/>
    </w:pPr>
  </w:style>
  <w:style w:type="character" w:customStyle="1" w:styleId="22">
    <w:name w:val="Оглавление 2 Знак"/>
    <w:link w:val="21"/>
    <w:rsid w:val="00B13D3C"/>
  </w:style>
  <w:style w:type="paragraph" w:styleId="41">
    <w:name w:val="toc 4"/>
    <w:next w:val="a"/>
    <w:link w:val="42"/>
    <w:uiPriority w:val="39"/>
    <w:rsid w:val="00B13D3C"/>
    <w:pPr>
      <w:ind w:left="600"/>
    </w:pPr>
  </w:style>
  <w:style w:type="character" w:customStyle="1" w:styleId="42">
    <w:name w:val="Оглавление 4 Знак"/>
    <w:link w:val="41"/>
    <w:rsid w:val="00B13D3C"/>
  </w:style>
  <w:style w:type="paragraph" w:styleId="6">
    <w:name w:val="toc 6"/>
    <w:next w:val="a"/>
    <w:link w:val="60"/>
    <w:uiPriority w:val="39"/>
    <w:rsid w:val="00B13D3C"/>
    <w:pPr>
      <w:ind w:left="1000"/>
    </w:pPr>
  </w:style>
  <w:style w:type="character" w:customStyle="1" w:styleId="60">
    <w:name w:val="Оглавление 6 Знак"/>
    <w:link w:val="6"/>
    <w:rsid w:val="00B13D3C"/>
  </w:style>
  <w:style w:type="paragraph" w:styleId="7">
    <w:name w:val="toc 7"/>
    <w:next w:val="a"/>
    <w:link w:val="70"/>
    <w:uiPriority w:val="39"/>
    <w:rsid w:val="00B13D3C"/>
    <w:pPr>
      <w:ind w:left="1200"/>
    </w:pPr>
  </w:style>
  <w:style w:type="character" w:customStyle="1" w:styleId="70">
    <w:name w:val="Оглавление 7 Знак"/>
    <w:link w:val="7"/>
    <w:rsid w:val="00B13D3C"/>
  </w:style>
  <w:style w:type="paragraph" w:customStyle="1" w:styleId="Index">
    <w:name w:val="Index"/>
    <w:basedOn w:val="a"/>
    <w:link w:val="Index0"/>
    <w:rsid w:val="00B13D3C"/>
  </w:style>
  <w:style w:type="character" w:customStyle="1" w:styleId="Index0">
    <w:name w:val="Index"/>
    <w:basedOn w:val="1"/>
    <w:link w:val="Index"/>
    <w:rsid w:val="00B13D3C"/>
  </w:style>
  <w:style w:type="character" w:customStyle="1" w:styleId="30">
    <w:name w:val="Заголовок 3 Знак"/>
    <w:link w:val="3"/>
    <w:rsid w:val="00B13D3C"/>
    <w:rPr>
      <w:rFonts w:ascii="XO Thames" w:hAnsi="XO Thames"/>
      <w:b/>
      <w:i/>
      <w:color w:val="000000"/>
    </w:rPr>
  </w:style>
  <w:style w:type="paragraph" w:styleId="a3">
    <w:name w:val="List"/>
    <w:basedOn w:val="Textbody"/>
    <w:link w:val="a4"/>
    <w:rsid w:val="00B13D3C"/>
  </w:style>
  <w:style w:type="character" w:customStyle="1" w:styleId="a4">
    <w:name w:val="Список Знак"/>
    <w:basedOn w:val="Textbody0"/>
    <w:link w:val="a3"/>
    <w:rsid w:val="00B13D3C"/>
  </w:style>
  <w:style w:type="paragraph" w:styleId="31">
    <w:name w:val="toc 3"/>
    <w:next w:val="a"/>
    <w:link w:val="32"/>
    <w:uiPriority w:val="39"/>
    <w:rsid w:val="00B13D3C"/>
    <w:pPr>
      <w:ind w:left="400"/>
    </w:pPr>
  </w:style>
  <w:style w:type="character" w:customStyle="1" w:styleId="32">
    <w:name w:val="Оглавление 3 Знак"/>
    <w:link w:val="31"/>
    <w:rsid w:val="00B13D3C"/>
  </w:style>
  <w:style w:type="character" w:customStyle="1" w:styleId="50">
    <w:name w:val="Заголовок 5 Знак"/>
    <w:link w:val="5"/>
    <w:rsid w:val="00B13D3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13D3C"/>
    <w:rPr>
      <w:rFonts w:ascii="XO Thames" w:hAnsi="XO Thames"/>
      <w:b/>
      <w:sz w:val="32"/>
    </w:rPr>
  </w:style>
  <w:style w:type="paragraph" w:customStyle="1" w:styleId="Heading">
    <w:name w:val="Heading"/>
    <w:basedOn w:val="a"/>
    <w:next w:val="Textbody"/>
    <w:link w:val="Heading0"/>
    <w:rsid w:val="00B13D3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B13D3C"/>
    <w:rPr>
      <w:rFonts w:ascii="Liberation Sans" w:hAnsi="Liberation Sans"/>
      <w:sz w:val="28"/>
    </w:rPr>
  </w:style>
  <w:style w:type="paragraph" w:customStyle="1" w:styleId="12">
    <w:name w:val="Гиперссылка1"/>
    <w:link w:val="a5"/>
    <w:rsid w:val="00B13D3C"/>
    <w:rPr>
      <w:color w:val="0000FF"/>
      <w:u w:val="single"/>
    </w:rPr>
  </w:style>
  <w:style w:type="character" w:styleId="a5">
    <w:name w:val="Hyperlink"/>
    <w:link w:val="12"/>
    <w:rsid w:val="00B13D3C"/>
    <w:rPr>
      <w:color w:val="0000FF"/>
      <w:u w:val="single"/>
    </w:rPr>
  </w:style>
  <w:style w:type="paragraph" w:customStyle="1" w:styleId="Footnote">
    <w:name w:val="Footnote"/>
    <w:link w:val="Footnote0"/>
    <w:rsid w:val="00B13D3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B13D3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13D3C"/>
    <w:rPr>
      <w:rFonts w:ascii="XO Thames" w:hAnsi="XO Thames"/>
      <w:b/>
    </w:rPr>
  </w:style>
  <w:style w:type="character" w:customStyle="1" w:styleId="14">
    <w:name w:val="Оглавление 1 Знак"/>
    <w:link w:val="13"/>
    <w:rsid w:val="00B13D3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B13D3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B13D3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B13D3C"/>
    <w:pPr>
      <w:ind w:left="1600"/>
    </w:pPr>
  </w:style>
  <w:style w:type="character" w:customStyle="1" w:styleId="90">
    <w:name w:val="Оглавление 9 Знак"/>
    <w:link w:val="9"/>
    <w:rsid w:val="00B13D3C"/>
  </w:style>
  <w:style w:type="paragraph" w:styleId="8">
    <w:name w:val="toc 8"/>
    <w:next w:val="a"/>
    <w:link w:val="80"/>
    <w:uiPriority w:val="39"/>
    <w:rsid w:val="00B13D3C"/>
    <w:pPr>
      <w:ind w:left="1400"/>
    </w:pPr>
  </w:style>
  <w:style w:type="character" w:customStyle="1" w:styleId="80">
    <w:name w:val="Оглавление 8 Знак"/>
    <w:link w:val="8"/>
    <w:rsid w:val="00B13D3C"/>
  </w:style>
  <w:style w:type="paragraph" w:styleId="51">
    <w:name w:val="toc 5"/>
    <w:next w:val="a"/>
    <w:link w:val="52"/>
    <w:uiPriority w:val="39"/>
    <w:rsid w:val="00B13D3C"/>
    <w:pPr>
      <w:ind w:left="800"/>
    </w:pPr>
  </w:style>
  <w:style w:type="character" w:customStyle="1" w:styleId="52">
    <w:name w:val="Оглавление 5 Знак"/>
    <w:link w:val="51"/>
    <w:rsid w:val="00B13D3C"/>
  </w:style>
  <w:style w:type="paragraph" w:customStyle="1" w:styleId="Textbody">
    <w:name w:val="Text body"/>
    <w:basedOn w:val="a"/>
    <w:link w:val="Textbody0"/>
    <w:rsid w:val="00B13D3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B13D3C"/>
  </w:style>
  <w:style w:type="paragraph" w:customStyle="1" w:styleId="Caption">
    <w:name w:val="Caption"/>
    <w:basedOn w:val="a"/>
    <w:link w:val="Caption0"/>
    <w:rsid w:val="00B13D3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B13D3C"/>
    <w:rPr>
      <w:i/>
      <w:sz w:val="24"/>
    </w:rPr>
  </w:style>
  <w:style w:type="paragraph" w:styleId="a6">
    <w:name w:val="Subtitle"/>
    <w:next w:val="a"/>
    <w:link w:val="a7"/>
    <w:uiPriority w:val="11"/>
    <w:qFormat/>
    <w:rsid w:val="00B13D3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13D3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B13D3C"/>
    <w:pPr>
      <w:ind w:left="1800"/>
    </w:pPr>
  </w:style>
  <w:style w:type="character" w:customStyle="1" w:styleId="toc100">
    <w:name w:val="toc 10"/>
    <w:link w:val="toc10"/>
    <w:rsid w:val="00B13D3C"/>
  </w:style>
  <w:style w:type="paragraph" w:styleId="a8">
    <w:name w:val="Title"/>
    <w:next w:val="a"/>
    <w:link w:val="a9"/>
    <w:uiPriority w:val="10"/>
    <w:qFormat/>
    <w:rsid w:val="00B13D3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13D3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13D3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13D3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1902</Characters>
  <Application>Microsoft Office Word</Application>
  <DocSecurity>0</DocSecurity>
  <Lines>15</Lines>
  <Paragraphs>4</Paragraphs>
  <ScaleCrop>false</ScaleCrop>
  <Company/>
  <LinksUpToDate>false</LinksUpToDate>
  <CharactersWithSpaces>2231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2021-01-22T08:23:00Z</dcterms:created>
  <dcterms:modified xsi:type="dcterms:W3CDTF">2021-01-22T08:24:00Z</dcterms:modified>
</cp:coreProperties>
</file>