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С 1 февраля выросли размеры ежемесячной денежной выплаты федеральным льготникам и стоимость набора социальных услуг</w:t>
      </w:r>
    </w:p>
    <w:p w14:paraId="02000000">
      <w:pPr>
        <w:pStyle w:val="Style_2"/>
      </w:pPr>
    </w:p>
    <w:p w14:paraId="03000000">
      <w:pPr>
        <w:pStyle w:val="Style_3"/>
      </w:pPr>
      <w:r>
        <w:t xml:space="preserve">ОПУБЛИКОВАНО 01.02.2021 11:19 </w:t>
      </w:r>
    </w:p>
    <w:p w14:paraId="04000000">
      <w:pPr>
        <w:pStyle w:val="Style_3"/>
        <w:ind/>
        <w:jc w:val="both"/>
      </w:pPr>
      <w:r>
        <w:t>   С 1 февраля на 4,9% проиндексирована ежемесячная денежная выплата (ЕДВ) – самая массовая социальная выплата в России. Её получателями являются федеральные льготники.</w:t>
      </w:r>
    </w:p>
    <w:p w14:paraId="05000000">
      <w:pPr>
        <w:pStyle w:val="Style_3"/>
        <w:ind/>
        <w:jc w:val="both"/>
      </w:pPr>
      <w:r>
        <w:t> В Мордовии индексация коснулась  90 тысяч 835 человек. Сумма прибавки у каждого индивидуальна.</w:t>
      </w:r>
    </w:p>
    <w:p w14:paraId="06000000">
      <w:pPr>
        <w:pStyle w:val="Style_3"/>
        <w:ind/>
        <w:jc w:val="both"/>
      </w:pPr>
      <w:r>
        <w:t>Право на ежемесячную денежную выплату  из федерального бюджета имеют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знаками  "Житель блокадного Ленинграда" и «Житель осажденного Севастополя»,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 w14:paraId="07000000">
      <w:pPr>
        <w:pStyle w:val="Style_3"/>
        <w:ind/>
        <w:jc w:val="both"/>
      </w:pPr>
      <w:r>
        <w:t>Также на 4,9 процента проиндексирован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выросла до 1211,66 рублей в месяц.  НСУ включает в себя:</w:t>
      </w:r>
    </w:p>
    <w:p w14:paraId="08000000">
      <w:pPr>
        <w:pStyle w:val="Style_3"/>
        <w:numPr>
          <w:numId w:val="1"/>
        </w:numPr>
        <w:spacing w:after="0" w:before="0"/>
        <w:ind/>
        <w:jc w:val="both"/>
      </w:pPr>
      <w:r>
        <w:t xml:space="preserve">предоставление лекарственных препаратов, медицинских изделий, продуктов лечебного питания – 933,25 рубля, </w:t>
      </w:r>
    </w:p>
    <w:p w14:paraId="09000000">
      <w:pPr>
        <w:pStyle w:val="Style_3"/>
        <w:numPr>
          <w:numId w:val="1"/>
        </w:numPr>
        <w:spacing w:after="0" w:before="0"/>
        <w:ind/>
        <w:jc w:val="both"/>
      </w:pPr>
      <w:r>
        <w:t xml:space="preserve">предоставление путевки на санаторно-курортное лечение для профилактики основных заболеваний – 144,37 рубля, </w:t>
      </w:r>
    </w:p>
    <w:p w14:paraId="0A000000">
      <w:pPr>
        <w:pStyle w:val="Style_3"/>
        <w:numPr>
          <w:numId w:val="1"/>
        </w:numPr>
        <w:ind/>
        <w:jc w:val="both"/>
      </w:pPr>
      <w:r>
        <w:t xml:space="preserve">бесплатный проезд на пригородном железнодорожном транспорте или на междугородном транспорте к месту лечения и обратно – 134,04 рубля. </w:t>
      </w:r>
    </w:p>
    <w:p w14:paraId="0B000000">
      <w:pPr>
        <w:pStyle w:val="Style_3"/>
        <w:ind/>
        <w:jc w:val="both"/>
      </w:pPr>
      <w:r>
        <w:t> </w:t>
      </w:r>
    </w:p>
    <w:p w14:paraId="0C000000">
      <w:pPr>
        <w:pStyle w:val="Style_3"/>
        <w:ind/>
        <w:jc w:val="both"/>
      </w:pPr>
      <w:r>
        <w:t xml:space="preserve">Кроме этого, с 1 февраля  на 4,9%  увеличено пособие на погребение. </w:t>
      </w:r>
      <w:r>
        <w:rPr>
          <w:rStyle w:val="Style_4_ch"/>
        </w:rPr>
        <w:t> </w:t>
      </w:r>
      <w:r>
        <w:t> С учетом индексации  в России установлен предельный размер этого социального пособия — 6 тысяч 424 рубля 98 копеек.  Размер пособия на погребение складывается из стоимости услуг, которые  внесены в гарантированный перечень услуг по погребению, но эта сумма не должна превышать предельного размера.</w:t>
      </w:r>
    </w:p>
    <w:p w14:paraId="0D000000">
      <w:pPr>
        <w:pStyle w:val="Style_3"/>
        <w:ind/>
        <w:jc w:val="both"/>
      </w:pPr>
      <w:r>
        <w:t>Обращаем внимание, что в регионах стоимость услуг на погребение определяется органами местного самоуправления.   Поэтому выплату социального пособия в новых размерах  Управления Пенсионного фонда на территории Мордовии начнут после принятия решений о стоимости услуги  органами муниципальных образований.</w:t>
      </w:r>
    </w:p>
    <w:p w14:paraId="0E000000">
      <w:pPr>
        <w:pStyle w:val="Style_3"/>
        <w:ind/>
        <w:jc w:val="both"/>
      </w:pPr>
      <w:r>
        <w:rPr>
          <w:rStyle w:val="Style_5_ch"/>
        </w:rPr>
        <w:t xml:space="preserve">Напомним, что ранее, с 1 января, была проиндексирована  на 6,3%, страховая пенсия неработающих пенсионеров. </w:t>
      </w:r>
    </w:p>
    <w:p w14:paraId="0F000000">
      <w:pPr>
        <w:pStyle w:val="Style_3"/>
        <w:ind/>
        <w:jc w:val="both"/>
      </w:pPr>
      <w:r>
        <w:rPr>
          <w:rStyle w:val="Style_5_ch"/>
        </w:rPr>
        <w:t>С 1 апреля в России ожидается индексация социальной пенсии.</w:t>
      </w:r>
    </w:p>
    <w:p w14:paraId="10000000">
      <w:pPr>
        <w:pStyle w:val="Style_6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</w:pPr>
  </w:style>
  <w:style w:styleId="Style_7_ch" w:type="character">
    <w:name w:val="toc 2"/>
    <w:link w:val="Style_7"/>
  </w:style>
  <w:style w:styleId="Style_8" w:type="paragraph">
    <w:name w:val="toc 4"/>
    <w:next w:val="Style_6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6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6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11" w:type="paragraph">
    <w:name w:val="heading 3"/>
    <w:next w:val="Style_6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2" w:type="paragraph">
    <w:name w:val="Horizontal Line"/>
    <w:basedOn w:val="Style_6"/>
    <w:next w:val="Style_3"/>
    <w:link w:val="Style_2_ch"/>
    <w:pPr>
      <w:spacing w:after="283" w:before="0"/>
      <w:ind/>
    </w:pPr>
    <w:rPr>
      <w:sz w:val="12"/>
    </w:rPr>
  </w:style>
  <w:style w:styleId="Style_2_ch" w:type="character">
    <w:name w:val="Horizontal Line"/>
    <w:basedOn w:val="Style_6_ch"/>
    <w:link w:val="Style_2"/>
    <w:rPr>
      <w:sz w:val="12"/>
    </w:rPr>
  </w:style>
  <w:style w:styleId="Style_12" w:type="paragraph">
    <w:name w:val="Bullet Symbols"/>
    <w:link w:val="Style_12_ch"/>
    <w:rPr>
      <w:rFonts w:ascii="OpenSymbol" w:hAnsi="OpenSymbol"/>
    </w:rPr>
  </w:style>
  <w:style w:styleId="Style_12_ch" w:type="character">
    <w:name w:val="Bullet Symbols"/>
    <w:link w:val="Style_12"/>
    <w:rPr>
      <w:rFonts w:ascii="OpenSymbol" w:hAnsi="OpenSymbol"/>
    </w:rPr>
  </w:style>
  <w:style w:styleId="Style_5" w:type="paragraph">
    <w:name w:val="Emphasis"/>
    <w:link w:val="Style_5_ch"/>
    <w:rPr>
      <w:i w:val="1"/>
    </w:rPr>
  </w:style>
  <w:style w:styleId="Style_5_ch" w:type="character">
    <w:name w:val="Emphasis"/>
    <w:link w:val="Style_5"/>
    <w:rPr>
      <w:i w:val="1"/>
    </w:rPr>
  </w:style>
  <w:style w:styleId="Style_13" w:type="paragraph">
    <w:name w:val="toc 3"/>
    <w:next w:val="Style_6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6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5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5_ch"/>
    <w:link w:val="Style_1"/>
    <w:rPr>
      <w:rFonts w:ascii="Liberation Serif" w:hAnsi="Liberation Serif"/>
      <w:b w:val="1"/>
      <w:sz w:val="48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6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6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3" w:type="paragraph">
    <w:name w:val="Text body"/>
    <w:basedOn w:val="Style_6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6_ch"/>
    <w:link w:val="Style_3"/>
  </w:style>
  <w:style w:styleId="Style_21" w:type="paragraph">
    <w:name w:val="List"/>
    <w:basedOn w:val="Style_3"/>
    <w:link w:val="Style_21_ch"/>
  </w:style>
  <w:style w:styleId="Style_21_ch" w:type="character">
    <w:name w:val="List"/>
    <w:basedOn w:val="Style_3_ch"/>
    <w:link w:val="Style_21"/>
  </w:style>
  <w:style w:styleId="Style_22" w:type="paragraph">
    <w:name w:val="Index"/>
    <w:basedOn w:val="Style_6"/>
    <w:link w:val="Style_22_ch"/>
  </w:style>
  <w:style w:styleId="Style_22_ch" w:type="character">
    <w:name w:val="Index"/>
    <w:basedOn w:val="Style_6_ch"/>
    <w:link w:val="Style_22"/>
  </w:style>
  <w:style w:styleId="Style_23" w:type="paragraph">
    <w:name w:val="toc 8"/>
    <w:next w:val="Style_6"/>
    <w:link w:val="Style_23_ch"/>
    <w:uiPriority w:val="39"/>
    <w:pPr>
      <w:ind w:firstLine="0" w:left="1400"/>
    </w:pPr>
  </w:style>
  <w:style w:styleId="Style_23_ch" w:type="character">
    <w:name w:val="toc 8"/>
    <w:link w:val="Style_23"/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15" w:type="paragraph">
    <w:name w:val="Heading"/>
    <w:basedOn w:val="Style_6"/>
    <w:next w:val="Style_3"/>
    <w:link w:val="Style_1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Heading"/>
    <w:basedOn w:val="Style_6_ch"/>
    <w:link w:val="Style_15"/>
    <w:rPr>
      <w:rFonts w:ascii="Liberation Sans" w:hAnsi="Liberation Sans"/>
      <w:sz w:val="28"/>
    </w:rPr>
  </w:style>
  <w:style w:styleId="Style_24" w:type="paragraph">
    <w:name w:val="toc 5"/>
    <w:next w:val="Style_6"/>
    <w:link w:val="Style_24_ch"/>
    <w:uiPriority w:val="39"/>
    <w:pPr>
      <w:ind w:firstLine="0" w:left="800"/>
    </w:pPr>
  </w:style>
  <w:style w:styleId="Style_24_ch" w:type="character">
    <w:name w:val="toc 5"/>
    <w:link w:val="Style_24"/>
  </w:style>
  <w:style w:styleId="Style_25" w:type="paragraph">
    <w:name w:val="Caption"/>
    <w:basedOn w:val="Style_6"/>
    <w:link w:val="Style_25_ch"/>
    <w:pPr>
      <w:spacing w:after="120" w:before="120"/>
      <w:ind/>
    </w:pPr>
    <w:rPr>
      <w:i w:val="1"/>
      <w:sz w:val="24"/>
    </w:rPr>
  </w:style>
  <w:style w:styleId="Style_25_ch" w:type="character">
    <w:name w:val="Caption"/>
    <w:basedOn w:val="Style_6_ch"/>
    <w:link w:val="Style_25"/>
    <w:rPr>
      <w:i w:val="1"/>
      <w:sz w:val="24"/>
    </w:rPr>
  </w:style>
  <w:style w:styleId="Style_26" w:type="paragraph">
    <w:name w:val="Subtitle"/>
    <w:next w:val="Style_6"/>
    <w:link w:val="Style_26_ch"/>
    <w:uiPriority w:val="11"/>
    <w:qFormat/>
    <w:rPr>
      <w:rFonts w:ascii="XO Thames" w:hAnsi="XO Thames"/>
      <w:i w:val="1"/>
      <w:color w:val="616161"/>
      <w:sz w:val="24"/>
    </w:rPr>
  </w:style>
  <w:style w:styleId="Style_26_ch" w:type="character">
    <w:name w:val="Subtitle"/>
    <w:link w:val="Style_26"/>
    <w:rPr>
      <w:rFonts w:ascii="XO Thames" w:hAnsi="XO Thames"/>
      <w:i w:val="1"/>
      <w:color w:val="616161"/>
      <w:sz w:val="24"/>
    </w:rPr>
  </w:style>
  <w:style w:styleId="Style_27" w:type="paragraph">
    <w:name w:val="toc 10"/>
    <w:next w:val="Style_6"/>
    <w:link w:val="Style_27_ch"/>
    <w:uiPriority w:val="39"/>
    <w:pPr>
      <w:ind w:firstLine="0" w:left="1800"/>
    </w:pPr>
  </w:style>
  <w:style w:styleId="Style_27_ch" w:type="character">
    <w:name w:val="toc 10"/>
    <w:link w:val="Style_27"/>
  </w:style>
  <w:style w:styleId="Style_28" w:type="paragraph">
    <w:name w:val="Title"/>
    <w:next w:val="Style_6"/>
    <w:link w:val="Style_28_ch"/>
    <w:uiPriority w:val="10"/>
    <w:qFormat/>
    <w:rPr>
      <w:rFonts w:ascii="XO Thames" w:hAnsi="XO Thames"/>
      <w:b w:val="1"/>
      <w:sz w:val="52"/>
    </w:rPr>
  </w:style>
  <w:style w:styleId="Style_28_ch" w:type="character">
    <w:name w:val="Title"/>
    <w:link w:val="Style_28"/>
    <w:rPr>
      <w:rFonts w:ascii="XO Thames" w:hAnsi="XO Thames"/>
      <w:b w:val="1"/>
      <w:sz w:val="52"/>
    </w:rPr>
  </w:style>
  <w:style w:styleId="Style_29" w:type="paragraph">
    <w:name w:val="heading 4"/>
    <w:next w:val="Style_6"/>
    <w:link w:val="Style_29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9_ch" w:type="character">
    <w:name w:val="heading 4"/>
    <w:link w:val="Style_29"/>
    <w:rPr>
      <w:rFonts w:ascii="XO Thames" w:hAnsi="XO Thames"/>
      <w:b w:val="1"/>
      <w:color w:val="595959"/>
      <w:sz w:val="26"/>
    </w:rPr>
  </w:style>
  <w:style w:styleId="Style_30" w:type="paragraph">
    <w:name w:val="heading 2"/>
    <w:next w:val="Style_6"/>
    <w:link w:val="Style_30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0_ch" w:type="character">
    <w:name w:val="heading 2"/>
    <w:link w:val="Style_30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