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</w:pPr>
    </w:p>
    <w:p w14:paraId="03000000">
      <w:pPr>
        <w:pStyle w:val="Style_2"/>
      </w:pPr>
      <w:r>
        <w:t>Фонд поддержки слепоглухих «Со-единение» готов оказать помощь людям с одновременным нарушением слуха и зрения</w:t>
      </w:r>
    </w:p>
    <w:p w14:paraId="04000000">
      <w:pPr>
        <w:pStyle w:val="Style_3"/>
        <w:spacing w:after="283" w:before="0"/>
        <w:ind/>
      </w:pPr>
      <w:r>
        <w:t xml:space="preserve">Опубликовано: 16 ноября 2020 </w:t>
      </w:r>
    </w:p>
    <w:p w14:paraId="05000000">
      <w:pPr>
        <w:pStyle w:val="Style_4"/>
      </w:pPr>
      <w:r>
        <w:t>Фонд поддержки слепоглухих «Со-единение» был учрежден 8 апреля 2014 года на заседании Наблюдательного совета Агентства стратегических инициатив под председательством Президента России В. В. Путина. Цель фонда – системные изменения в области поддержки и социальной интеграции людей с одновременным нарушением слуха и зрения в общество.</w:t>
      </w:r>
    </w:p>
    <w:p w14:paraId="06000000">
      <w:pPr>
        <w:pStyle w:val="Style_4"/>
      </w:pPr>
      <w:r>
        <w:t>Фонд оказывает помощь взрослым и детям с одновременным нарушением слуха и зрения, имеющим инвалидность, по целому ряду направлений: реабилитация, компенсация технических средств реабилитации и медикаментов, организация досуговой деятельности в регионах, обучающие курсы компьютерной грамотности, сопровождаемое проживание и многие другое.</w:t>
      </w:r>
    </w:p>
    <w:p w14:paraId="07000000">
      <w:pPr>
        <w:pStyle w:val="Style_4"/>
      </w:pPr>
      <w:r>
        <w:t xml:space="preserve">Более подробную информацию о деятельности Фонда можно получить на официальном сайте –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"https://so-edinenie.org/"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https://so-edinenie.org</w:t>
      </w:r>
      <w:r>
        <w:rPr>
          <w:color w:val="000080"/>
          <w:u w:color="000080" w:val="single"/>
        </w:rPr>
        <w:fldChar w:fldCharType="end"/>
      </w:r>
      <w:r>
        <w:t>.</w:t>
      </w:r>
    </w:p>
    <w:p w14:paraId="08000000">
      <w:pPr>
        <w:pStyle w:val="Style_4"/>
      </w:pPr>
      <w:r>
        <w:t>Для получения помощи необходимо пройти перепись – это необходимая юридическая процедура, без которой фонд не может оказывать помощь.</w:t>
      </w:r>
    </w:p>
    <w:p w14:paraId="09000000">
      <w:pPr>
        <w:pStyle w:val="Style_4"/>
      </w:pPr>
      <w:r>
        <w:t>Перепись можно пройти двумя способами – онлайн и по телефону:</w:t>
      </w:r>
    </w:p>
    <w:p w14:paraId="0A000000">
      <w:pPr>
        <w:pStyle w:val="Style_4"/>
        <w:numPr>
          <w:numId w:val="1"/>
        </w:numPr>
        <w:spacing w:after="0" w:before="0"/>
        <w:ind/>
      </w:pPr>
      <w:r>
        <w:t xml:space="preserve">ссылка для прохождения переписи –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"http://slepogluhie.ru/"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http://slepogluhie.ru</w:t>
      </w:r>
      <w:r>
        <w:rPr>
          <w:color w:val="000080"/>
          <w:u w:color="000080" w:val="single"/>
        </w:rPr>
        <w:fldChar w:fldCharType="end"/>
      </w:r>
    </w:p>
    <w:p w14:paraId="0B000000">
      <w:pPr>
        <w:pStyle w:val="Style_4"/>
        <w:numPr>
          <w:numId w:val="1"/>
        </w:numPr>
      </w:pPr>
      <w:r>
        <w:t xml:space="preserve">телефон: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"tel:88003335000"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8 (800) 333-50-00</w:t>
      </w:r>
      <w:r>
        <w:rPr>
          <w:color w:val="000080"/>
          <w:u w:color="000080" w:val="single"/>
        </w:rPr>
        <w:fldChar w:fldCharType="end"/>
      </w:r>
    </w:p>
    <w:p w14:paraId="0C000000">
      <w:pPr>
        <w:pStyle w:val="Style_4"/>
      </w:pPr>
      <w:r>
        <w:t>Также люди с одновременным нарушением слуха и зрения могут получить помощь и принять участие в проектах партнерских организаций фонда:</w:t>
      </w:r>
    </w:p>
    <w:p w14:paraId="0D000000">
      <w:pPr>
        <w:pStyle w:val="Style_4"/>
        <w:numPr>
          <w:numId w:val="2"/>
        </w:numPr>
        <w:spacing w:after="0" w:before="0"/>
        <w:ind/>
      </w:pPr>
      <w:r>
        <w:rPr>
          <w:rStyle w:val="Style_5_ch"/>
        </w:rPr>
        <w:t>Центр творческих проектов «Инклюзион»</w:t>
      </w:r>
      <w:r>
        <w:t xml:space="preserve"> – спектакли, театральные школы;</w:t>
      </w:r>
    </w:p>
    <w:p w14:paraId="0E000000">
      <w:pPr>
        <w:pStyle w:val="Style_4"/>
        <w:numPr>
          <w:numId w:val="2"/>
        </w:numPr>
        <w:spacing w:after="0" w:before="0"/>
        <w:ind/>
      </w:pPr>
      <w:r>
        <w:rPr>
          <w:rStyle w:val="Style_5_ch"/>
        </w:rPr>
        <w:t>Ассоциация лиц с нарушением слуха и зрения «Со-гласие»</w:t>
      </w:r>
      <w:r>
        <w:t xml:space="preserve"> – юридические и компьютерные консультации, общественная деятельность;</w:t>
      </w:r>
    </w:p>
    <w:p w14:paraId="0F000000">
      <w:pPr>
        <w:pStyle w:val="Style_4"/>
        <w:numPr>
          <w:numId w:val="2"/>
        </w:numPr>
        <w:spacing w:after="0" w:before="0"/>
        <w:ind/>
      </w:pPr>
      <w:r>
        <w:rPr>
          <w:rStyle w:val="Style_5_ch"/>
        </w:rPr>
        <w:t>МБОО «Сообщество семей слепоглухих»</w:t>
      </w:r>
      <w:r>
        <w:t xml:space="preserve"> – поддержка семей, в которых проживают дети с одновременным нарушением слуха и зрения;</w:t>
      </w:r>
    </w:p>
    <w:p w14:paraId="10000000">
      <w:pPr>
        <w:pStyle w:val="Style_4"/>
        <w:numPr>
          <w:numId w:val="2"/>
        </w:numPr>
      </w:pPr>
      <w:r>
        <w:rPr>
          <w:rStyle w:val="Style_5_ch"/>
        </w:rPr>
        <w:t>АНО «Ресурсный центр поддержки людей с мультисенсорными нарушениями и их семей «Ясенева Поляна»</w:t>
      </w:r>
      <w:r>
        <w:t xml:space="preserve"> – реабилитация детей с одновременным нарушением слуха и зрения, научная деятельность.</w:t>
      </w:r>
    </w:p>
    <w:p w14:paraId="11000000">
      <w:pPr>
        <w:pStyle w:val="Style_4"/>
        <w:ind/>
        <w:jc w:val="center"/>
        <w:rPr>
          <w:rFonts w:ascii="ProximaNovaBold" w:hAnsi="ProximaNovaBold"/>
        </w:rPr>
      </w:pPr>
      <w:r>
        <w:rPr>
          <w:rFonts w:ascii="ProximaNovaBold" w:hAnsi="ProximaNovaBold"/>
        </w:rPr>
        <w:t>Если вы знаете людей с одновременным нарушением слуха или зрения, пожалуйста, передайте им эту информацию!</w:t>
      </w:r>
    </w:p>
    <w:p w14:paraId="12000000">
      <w:pPr>
        <w:pStyle w:val="Style_4"/>
        <w:numPr>
          <w:numId w:val="3"/>
        </w:numPr>
        <w:spacing w:after="0" w:before="0"/>
        <w:ind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"https://sfri.ru/novosti/335-raboty-po-provedeniyu-tekhnicheskogo-obsluzhivaniya"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 xml:space="preserve">Назад </w:t>
      </w:r>
      <w:r>
        <w:rPr>
          <w:color w:val="000080"/>
          <w:u w:color="000080" w:val="single"/>
        </w:rPr>
        <w:fldChar w:fldCharType="end"/>
      </w:r>
    </w:p>
    <w:p w14:paraId="13000000">
      <w:pPr>
        <w:pStyle w:val="Style_4"/>
        <w:numPr>
          <w:numId w:val="3"/>
        </w:numPr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"https://sfri.ru/novosti/333-2020-09-30"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 xml:space="preserve">Вперёд </w:t>
      </w:r>
      <w:r>
        <w:rPr>
          <w:color w:val="000080"/>
          <w:u w:color="000080" w:val="single"/>
        </w:rPr>
        <w:fldChar w:fldCharType="end"/>
      </w:r>
    </w:p>
    <w:p w14:paraId="14000000">
      <w:pPr>
        <w:pStyle w:val="Style_1"/>
      </w:pPr>
    </w:p>
    <w:p w14:paraId="15000000">
      <w:pPr>
        <w:pStyle w:val="Style_4"/>
        <w:spacing w:after="140" w:before="240"/>
        <w:ind/>
      </w:pPr>
      <w:r>
        <w:t>© 2020 Пенсионный Фонд Российской Федерации</w:t>
      </w:r>
    </w:p>
    <w:p w14:paraId="16000000">
      <w:pPr>
        <w:pStyle w:val="Style_4"/>
        <w:numPr>
          <w:numId w:val="4"/>
        </w:numPr>
        <w:spacing w:after="0" w:before="0"/>
        <w:ind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"https://sfri.ru/o-fri"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О ФРИ</w:t>
      </w:r>
      <w:r>
        <w:rPr>
          <w:color w:val="000080"/>
          <w:u w:color="000080" w:val="single"/>
        </w:rPr>
        <w:fldChar w:fldCharType="end"/>
      </w:r>
    </w:p>
    <w:p w14:paraId="17000000">
      <w:pPr>
        <w:pStyle w:val="Style_4"/>
        <w:numPr>
          <w:numId w:val="4"/>
        </w:numPr>
        <w:spacing w:after="0" w:before="0"/>
        <w:ind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"https://sfri.ru/informatsionnyj-obmen"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ИНФОРМАЦИОННЫЙ ОБМЕН</w:t>
      </w:r>
      <w:r>
        <w:rPr>
          <w:color w:val="000080"/>
          <w:u w:color="000080" w:val="single"/>
        </w:rPr>
        <w:fldChar w:fldCharType="end"/>
      </w:r>
    </w:p>
    <w:p w14:paraId="18000000">
      <w:pPr>
        <w:pStyle w:val="Style_4"/>
        <w:numPr>
          <w:numId w:val="4"/>
        </w:numPr>
        <w:spacing w:after="0" w:before="0"/>
        <w:ind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"https://sfri.ru/sitemap"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КАРТА САЙТА</w:t>
      </w:r>
      <w:r>
        <w:rPr>
          <w:color w:val="000080"/>
          <w:u w:color="000080" w:val="single"/>
        </w:rPr>
        <w:fldChar w:fldCharType="end"/>
      </w:r>
    </w:p>
    <w:p w14:paraId="19000000">
      <w:pPr>
        <w:pStyle w:val="Style_4"/>
        <w:numPr>
          <w:numId w:val="4"/>
        </w:numPr>
        <w:spacing w:after="0" w:before="0"/>
        <w:ind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"https://sfri.ru/links"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ПОЛЕЗНЫЕ ССЫЛКИ</w:t>
      </w:r>
      <w:r>
        <w:rPr>
          <w:color w:val="000080"/>
          <w:u w:color="000080" w:val="single"/>
        </w:rPr>
        <w:fldChar w:fldCharType="end"/>
      </w:r>
    </w:p>
    <w:p w14:paraId="1A000000">
      <w:pPr>
        <w:pStyle w:val="Style_4"/>
        <w:numPr>
          <w:numId w:val="4"/>
        </w:numPr>
        <w:spacing w:after="0" w:before="0"/>
        <w:ind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"https://sfri.ru/support"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ТЕХНИЧЕСКАЯ ПОДДЕРЖКА</w:t>
      </w:r>
      <w:r>
        <w:rPr>
          <w:color w:val="000080"/>
          <w:u w:color="000080" w:val="single"/>
        </w:rPr>
        <w:fldChar w:fldCharType="end"/>
      </w:r>
    </w:p>
    <w:p w14:paraId="1B000000">
      <w:pPr>
        <w:pStyle w:val="Style_4"/>
        <w:numPr>
          <w:numId w:val="4"/>
        </w:numPr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"https://checkvehicle.sfri.ru/AppCheckVehicle/app/main"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ПРОВЕРКА ТС</w:t>
      </w:r>
      <w:r>
        <w:rPr>
          <w:color w:val="000080"/>
          <w:u w:color="000080" w:val="single"/>
        </w:rPr>
        <w:fldChar w:fldCharType="end"/>
      </w:r>
    </w:p>
    <w:p w14:paraId="1C000000">
      <w:pPr>
        <w:pStyle w:val="Style_1"/>
      </w:pPr>
    </w:p>
    <w:p w14:paraId="1D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abstractNum w:abstractNumId="1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abstractNum w:abstractNumId="2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abstractNum w:abstractNumId="3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6" w:type="paragraph">
    <w:name w:val="Index"/>
    <w:basedOn w:val="Style_1"/>
    <w:link w:val="Style_6_ch"/>
  </w:style>
  <w:style w:styleId="Style_6_ch" w:type="character">
    <w:name w:val="Index"/>
    <w:basedOn w:val="Style_1_ch"/>
    <w:link w:val="Style_6"/>
  </w:style>
  <w:style w:styleId="Style_7" w:type="paragraph">
    <w:name w:val="toc 2"/>
    <w:next w:val="Style_1"/>
    <w:link w:val="Style_7_ch"/>
    <w:uiPriority w:val="39"/>
    <w:pPr>
      <w:ind w:firstLine="0" w:left="200"/>
    </w:pPr>
  </w:style>
  <w:style w:styleId="Style_7_ch" w:type="character">
    <w:name w:val="toc 2"/>
    <w:link w:val="Style_7"/>
  </w:style>
  <w:style w:styleId="Style_8" w:type="paragraph">
    <w:name w:val="toc 4"/>
    <w:next w:val="Style_1"/>
    <w:link w:val="Style_8_ch"/>
    <w:uiPriority w:val="39"/>
    <w:pPr>
      <w:ind w:firstLine="0" w:left="600"/>
    </w:pPr>
  </w:style>
  <w:style w:styleId="Style_8_ch" w:type="character">
    <w:name w:val="toc 4"/>
    <w:link w:val="Style_8"/>
  </w:style>
  <w:style w:styleId="Style_9" w:type="paragraph">
    <w:name w:val="toc 6"/>
    <w:next w:val="Style_1"/>
    <w:link w:val="Style_9_ch"/>
    <w:uiPriority w:val="39"/>
    <w:pPr>
      <w:ind w:firstLine="0" w:left="1000"/>
    </w:pPr>
  </w:style>
  <w:style w:styleId="Style_9_ch" w:type="character">
    <w:name w:val="toc 6"/>
    <w:link w:val="Style_9"/>
  </w:style>
  <w:style w:styleId="Style_10" w:type="paragraph">
    <w:name w:val="toc 7"/>
    <w:next w:val="Style_1"/>
    <w:link w:val="Style_10_ch"/>
    <w:uiPriority w:val="39"/>
    <w:pPr>
      <w:ind w:firstLine="0" w:left="1200"/>
    </w:pPr>
  </w:style>
  <w:style w:styleId="Style_10_ch" w:type="character">
    <w:name w:val="toc 7"/>
    <w:link w:val="Style_10"/>
  </w:style>
  <w:style w:styleId="Style_11" w:type="paragraph">
    <w:name w:val="Caption"/>
    <w:basedOn w:val="Style_1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1_ch"/>
    <w:link w:val="Style_11"/>
    <w:rPr>
      <w:i w:val="1"/>
      <w:sz w:val="24"/>
    </w:rPr>
  </w:style>
  <w:style w:styleId="Style_12" w:type="paragraph">
    <w:name w:val="heading 3"/>
    <w:next w:val="Style_1"/>
    <w:link w:val="Style_12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2_ch" w:type="character">
    <w:name w:val="heading 3"/>
    <w:link w:val="Style_12"/>
    <w:rPr>
      <w:rFonts w:ascii="XO Thames" w:hAnsi="XO Thames"/>
      <w:b w:val="1"/>
      <w:i w:val="1"/>
      <w:color w:val="000000"/>
    </w:rPr>
  </w:style>
  <w:style w:styleId="Style_13" w:type="paragraph">
    <w:name w:val="Bullet Symbols"/>
    <w:link w:val="Style_13_ch"/>
    <w:rPr>
      <w:rFonts w:ascii="OpenSymbol" w:hAnsi="OpenSymbol"/>
    </w:rPr>
  </w:style>
  <w:style w:styleId="Style_13_ch" w:type="character">
    <w:name w:val="Bullet Symbols"/>
    <w:link w:val="Style_13"/>
    <w:rPr>
      <w:rFonts w:ascii="OpenSymbol" w:hAnsi="OpenSymbol"/>
    </w:rPr>
  </w:style>
  <w:style w:styleId="Style_4" w:type="paragraph">
    <w:name w:val="Text body"/>
    <w:basedOn w:val="Style_1"/>
    <w:link w:val="Style_4_ch"/>
    <w:pPr>
      <w:spacing w:after="140" w:before="0" w:line="288" w:lineRule="auto"/>
      <w:ind/>
    </w:pPr>
  </w:style>
  <w:style w:styleId="Style_4_ch" w:type="character">
    <w:name w:val="Text body"/>
    <w:basedOn w:val="Style_1_ch"/>
    <w:link w:val="Style_4"/>
  </w:style>
  <w:style w:styleId="Style_14" w:type="paragraph">
    <w:name w:val="toc 3"/>
    <w:next w:val="Style_1"/>
    <w:link w:val="Style_14_ch"/>
    <w:uiPriority w:val="39"/>
    <w:pPr>
      <w:ind w:firstLine="0" w:left="400"/>
    </w:pPr>
  </w:style>
  <w:style w:styleId="Style_14_ch" w:type="character">
    <w:name w:val="toc 3"/>
    <w:link w:val="Style_14"/>
  </w:style>
  <w:style w:styleId="Style_5" w:type="paragraph">
    <w:name w:val="Emphasis"/>
    <w:link w:val="Style_5_ch"/>
    <w:rPr>
      <w:i w:val="1"/>
    </w:rPr>
  </w:style>
  <w:style w:styleId="Style_5_ch" w:type="character">
    <w:name w:val="Emphasis"/>
    <w:link w:val="Style_5"/>
    <w:rPr>
      <w:i w:val="1"/>
    </w:rPr>
  </w:style>
  <w:style w:styleId="Style_15" w:type="paragraph">
    <w:name w:val="Heading"/>
    <w:basedOn w:val="Style_1"/>
    <w:next w:val="Style_4"/>
    <w:link w:val="Style_15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5_ch" w:type="character">
    <w:name w:val="Heading"/>
    <w:basedOn w:val="Style_1_ch"/>
    <w:link w:val="Style_15"/>
    <w:rPr>
      <w:rFonts w:ascii="Liberation Sans" w:hAnsi="Liberation Sans"/>
      <w:sz w:val="28"/>
    </w:rPr>
  </w:style>
  <w:style w:styleId="Style_16" w:type="paragraph">
    <w:name w:val="List"/>
    <w:basedOn w:val="Style_4"/>
    <w:link w:val="Style_16_ch"/>
  </w:style>
  <w:style w:styleId="Style_16_ch" w:type="character">
    <w:name w:val="List"/>
    <w:basedOn w:val="Style_4_ch"/>
    <w:link w:val="Style_16"/>
  </w:style>
  <w:style w:styleId="Style_17" w:type="paragraph">
    <w:name w:val="heading 5"/>
    <w:next w:val="Style_1"/>
    <w:link w:val="Style_17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7_ch" w:type="character">
    <w:name w:val="heading 5"/>
    <w:link w:val="Style_17"/>
    <w:rPr>
      <w:rFonts w:ascii="XO Thames" w:hAnsi="XO Thames"/>
      <w:b w:val="1"/>
      <w:color w:val="000000"/>
      <w:sz w:val="22"/>
    </w:rPr>
  </w:style>
  <w:style w:styleId="Style_18" w:type="paragraph">
    <w:name w:val="heading 1"/>
    <w:next w:val="Style_1"/>
    <w:link w:val="Style_18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3" w:type="paragraph">
    <w:name w:val="List Contents"/>
    <w:basedOn w:val="Style_1"/>
    <w:link w:val="Style_3_ch"/>
    <w:pPr>
      <w:ind w:firstLine="0" w:left="567" w:right="0"/>
    </w:pPr>
  </w:style>
  <w:style w:styleId="Style_3_ch" w:type="character">
    <w:name w:val="List Contents"/>
    <w:basedOn w:val="Style_1_ch"/>
    <w:link w:val="Style_3"/>
  </w:style>
  <w:style w:styleId="Style_19" w:type="paragraph">
    <w:name w:val="Hyperlink"/>
    <w:link w:val="Style_19_ch"/>
    <w:rPr>
      <w:color w:val="000080"/>
      <w:u w:color="000080" w:val="single"/>
    </w:rPr>
  </w:style>
  <w:style w:styleId="Style_19_ch" w:type="character">
    <w:name w:val="Hyperlink"/>
    <w:link w:val="Style_19"/>
    <w:rPr>
      <w:color w:val="000080"/>
      <w:u w:color="000080" w:val="single"/>
    </w:rPr>
  </w:style>
  <w:style w:styleId="Style_20" w:type="paragraph">
    <w:name w:val="Footnote"/>
    <w:link w:val="Style_20_ch"/>
    <w:pPr>
      <w:ind/>
      <w:jc w:val="left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1"/>
    <w:link w:val="Style_21_ch"/>
    <w:uiPriority w:val="39"/>
    <w:pPr>
      <w:ind w:firstLine="0" w:left="0"/>
    </w:pPr>
    <w:rPr>
      <w:rFonts w:ascii="XO Thames" w:hAnsi="XO Thames"/>
      <w:b w:val="1"/>
    </w:rPr>
  </w:style>
  <w:style w:styleId="Style_21_ch" w:type="character">
    <w:name w:val="toc 1"/>
    <w:link w:val="Style_21"/>
    <w:rPr>
      <w:rFonts w:ascii="XO Thames" w:hAnsi="XO Thames"/>
      <w:b w:val="1"/>
    </w:rPr>
  </w:style>
  <w:style w:styleId="Style_22" w:type="paragraph">
    <w:name w:val="Header and Footer"/>
    <w:link w:val="Style_22_ch"/>
    <w:pPr>
      <w:spacing w:line="360" w:lineRule="auto"/>
      <w:ind/>
    </w:pPr>
    <w:rPr>
      <w:rFonts w:ascii="XO Thames" w:hAnsi="XO Thames"/>
      <w:sz w:val="20"/>
    </w:rPr>
  </w:style>
  <w:style w:styleId="Style_22_ch" w:type="character">
    <w:name w:val="Header and Footer"/>
    <w:link w:val="Style_22"/>
    <w:rPr>
      <w:rFonts w:ascii="XO Thames" w:hAnsi="XO Thames"/>
      <w:sz w:val="20"/>
    </w:rPr>
  </w:style>
  <w:style w:styleId="Style_23" w:type="paragraph">
    <w:name w:val="toc 9"/>
    <w:next w:val="Style_1"/>
    <w:link w:val="Style_23_ch"/>
    <w:uiPriority w:val="39"/>
    <w:pPr>
      <w:ind w:firstLine="0" w:left="1600"/>
    </w:pPr>
  </w:style>
  <w:style w:styleId="Style_23_ch" w:type="character">
    <w:name w:val="toc 9"/>
    <w:link w:val="Style_23"/>
  </w:style>
  <w:style w:styleId="Style_24" w:type="paragraph">
    <w:name w:val="toc 8"/>
    <w:next w:val="Style_1"/>
    <w:link w:val="Style_24_ch"/>
    <w:uiPriority w:val="39"/>
    <w:pPr>
      <w:ind w:firstLine="0" w:left="1400"/>
    </w:pPr>
  </w:style>
  <w:style w:styleId="Style_24_ch" w:type="character">
    <w:name w:val="toc 8"/>
    <w:link w:val="Style_24"/>
  </w:style>
  <w:style w:styleId="Style_25" w:type="paragraph">
    <w:name w:val="toc 5"/>
    <w:next w:val="Style_1"/>
    <w:link w:val="Style_25_ch"/>
    <w:uiPriority w:val="39"/>
    <w:pPr>
      <w:ind w:firstLine="0" w:left="800"/>
    </w:pPr>
  </w:style>
  <w:style w:styleId="Style_25_ch" w:type="character">
    <w:name w:val="toc 5"/>
    <w:link w:val="Style_25"/>
  </w:style>
  <w:style w:styleId="Style_26" w:type="paragraph">
    <w:name w:val="List Heading"/>
    <w:basedOn w:val="Style_1"/>
    <w:next w:val="Style_3"/>
    <w:link w:val="Style_26_ch"/>
    <w:pPr>
      <w:ind w:firstLine="0" w:left="0" w:right="0"/>
    </w:pPr>
  </w:style>
  <w:style w:styleId="Style_26_ch" w:type="character">
    <w:name w:val="List Heading"/>
    <w:basedOn w:val="Style_1_ch"/>
    <w:link w:val="Style_26"/>
  </w:style>
  <w:style w:styleId="Style_27" w:type="paragraph">
    <w:name w:val="Subtitle"/>
    <w:next w:val="Style_1"/>
    <w:link w:val="Style_27_ch"/>
    <w:uiPriority w:val="11"/>
    <w:qFormat/>
    <w:rPr>
      <w:rFonts w:ascii="XO Thames" w:hAnsi="XO Thames"/>
      <w:i w:val="1"/>
      <w:color w:val="616161"/>
      <w:sz w:val="24"/>
    </w:rPr>
  </w:style>
  <w:style w:styleId="Style_27_ch" w:type="character">
    <w:name w:val="Subtitle"/>
    <w:link w:val="Style_27"/>
    <w:rPr>
      <w:rFonts w:ascii="XO Thames" w:hAnsi="XO Thames"/>
      <w:i w:val="1"/>
      <w:color w:val="616161"/>
      <w:sz w:val="24"/>
    </w:rPr>
  </w:style>
  <w:style w:styleId="Style_28" w:type="paragraph">
    <w:name w:val="toc 10"/>
    <w:next w:val="Style_1"/>
    <w:link w:val="Style_28_ch"/>
    <w:uiPriority w:val="39"/>
    <w:pPr>
      <w:ind w:firstLine="0" w:left="1800"/>
    </w:pPr>
  </w:style>
  <w:style w:styleId="Style_28_ch" w:type="character">
    <w:name w:val="toc 10"/>
    <w:link w:val="Style_28"/>
  </w:style>
  <w:style w:styleId="Style_29" w:type="paragraph">
    <w:name w:val="Title"/>
    <w:next w:val="Style_1"/>
    <w:link w:val="Style_29_ch"/>
    <w:uiPriority w:val="10"/>
    <w:qFormat/>
    <w:rPr>
      <w:rFonts w:ascii="XO Thames" w:hAnsi="XO Thames"/>
      <w:b w:val="1"/>
      <w:sz w:val="52"/>
    </w:rPr>
  </w:style>
  <w:style w:styleId="Style_29_ch" w:type="character">
    <w:name w:val="Title"/>
    <w:link w:val="Style_29"/>
    <w:rPr>
      <w:rFonts w:ascii="XO Thames" w:hAnsi="XO Thames"/>
      <w:b w:val="1"/>
      <w:sz w:val="52"/>
    </w:rPr>
  </w:style>
  <w:style w:styleId="Style_30" w:type="paragraph">
    <w:name w:val="heading 4"/>
    <w:next w:val="Style_1"/>
    <w:link w:val="Style_30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30_ch" w:type="character">
    <w:name w:val="heading 4"/>
    <w:link w:val="Style_30"/>
    <w:rPr>
      <w:rFonts w:ascii="XO Thames" w:hAnsi="XO Thames"/>
      <w:b w:val="1"/>
      <w:color w:val="595959"/>
      <w:sz w:val="26"/>
    </w:rPr>
  </w:style>
  <w:style w:styleId="Style_2" w:type="paragraph">
    <w:name w:val="heading 2"/>
    <w:basedOn w:val="Style_15"/>
    <w:next w:val="Style_4"/>
    <w:link w:val="Style_2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2_ch" w:type="character">
    <w:name w:val="heading 2"/>
    <w:basedOn w:val="Style_15_ch"/>
    <w:link w:val="Style_2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