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75" w:rsidRDefault="008B009C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Коммерсантъ</w:t>
      </w:r>
      <w:proofErr w:type="spellEnd"/>
      <w:r>
        <w:rPr>
          <w:rFonts w:ascii="sans-serif" w:hAnsi="sans-serif"/>
          <w:sz w:val="39"/>
        </w:rPr>
        <w:t xml:space="preserve">, 04.02.2021, 01:06, Рынок переиграл </w:t>
      </w:r>
    </w:p>
    <w:p w:rsidR="009B4775" w:rsidRDefault="008B009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«молчунов»</w:t>
      </w:r>
    </w:p>
    <w:p w:rsidR="009B4775" w:rsidRPr="008B009C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Частные компании и </w:t>
      </w:r>
      <w:r>
        <w:rPr>
          <w:rFonts w:ascii="sans-serif" w:hAnsi="sans-serif"/>
          <w:sz w:val="30"/>
        </w:rPr>
        <w:t>НПФ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обогнали ВЭБ по доходности инвестирования накоплений</w:t>
      </w:r>
      <w:r w:rsidRPr="008B009C">
        <w:rPr>
          <w:rFonts w:ascii="sans-serif" w:hAnsi="sans-serif"/>
          <w:sz w:val="30"/>
        </w:rPr>
        <w:t xml:space="preserve"> 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Доходность инвестирования </w:t>
      </w:r>
      <w:r>
        <w:rPr>
          <w:rFonts w:ascii="sans-serif" w:hAnsi="sans-serif"/>
          <w:sz w:val="30"/>
        </w:rPr>
        <w:t>пенсионных накоплений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егосударственными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пенсионными фондами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) по итогам 2020 года</w:t>
      </w:r>
      <w:r>
        <w:rPr>
          <w:rFonts w:ascii="sans-serif" w:hAnsi="sans-serif"/>
          <w:sz w:val="30"/>
        </w:rPr>
        <w:t xml:space="preserve"> составила 7%, превысив результат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государственной 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управляющей компании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ВЭБ</w:t>
      </w:r>
      <w:proofErr w:type="gramStart"/>
      <w:r>
        <w:rPr>
          <w:rFonts w:ascii="sans-serif" w:hAnsi="sans-serif"/>
          <w:sz w:val="30"/>
        </w:rPr>
        <w:t>.Р</w:t>
      </w:r>
      <w:proofErr w:type="gramEnd"/>
      <w:r>
        <w:rPr>
          <w:rFonts w:ascii="sans-serif" w:hAnsi="sans-serif"/>
          <w:sz w:val="30"/>
        </w:rPr>
        <w:t>Ф, распоряжающейся средствами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«молчунов». При этом 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пенсионные фонды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проиграли в доходности частным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управляющим компаниям. Более успешной оказалась агрессивная стратегия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управлени</w:t>
      </w:r>
      <w:r>
        <w:rPr>
          <w:rFonts w:ascii="sans-serif" w:hAnsi="sans-serif"/>
          <w:sz w:val="30"/>
        </w:rPr>
        <w:t xml:space="preserve">я, чем смогли воспользоваться отдельные 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, уходившие «в риск» после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турбулентности на финансовых рынках в первом квартале.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Средневзвешенная доходность 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 2020 год по </w:t>
      </w:r>
      <w:proofErr w:type="gramStart"/>
      <w:r>
        <w:rPr>
          <w:rFonts w:ascii="sans-serif" w:hAnsi="sans-serif"/>
          <w:sz w:val="30"/>
        </w:rPr>
        <w:t>обязательному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енсионному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страхованию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(ОПС) до вычета вознаграждений составила </w:t>
      </w:r>
      <w:r>
        <w:rPr>
          <w:rFonts w:ascii="sans-serif" w:hAnsi="sans-serif"/>
          <w:sz w:val="30"/>
        </w:rPr>
        <w:t>7%. Об этом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свидетельствуют представленные фондами данные, а также расчеты "Ъ" на основании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опубликованной информации. Всего рассмотрены показатели 17 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, в том числе 15</w:t>
      </w:r>
      <w:r>
        <w:rPr>
          <w:rFonts w:ascii="sans-serif" w:hAnsi="sans-serif"/>
          <w:sz w:val="30"/>
        </w:rPr>
        <w:t>крупнейших, с суммарным объемом обязательств по ОПС более 98% от всего рынка.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Таким</w:t>
      </w:r>
      <w:r>
        <w:rPr>
          <w:rFonts w:ascii="sans-serif" w:hAnsi="sans-serif"/>
          <w:sz w:val="30"/>
        </w:rPr>
        <w:t xml:space="preserve"> образом, частные фонды опередили показатели расширенного портфеля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ВЭБ</w:t>
      </w:r>
      <w:proofErr w:type="gramStart"/>
      <w:r>
        <w:rPr>
          <w:rFonts w:ascii="sans-serif" w:hAnsi="sans-serif"/>
          <w:sz w:val="30"/>
        </w:rPr>
        <w:t>.Р</w:t>
      </w:r>
      <w:proofErr w:type="gramEnd"/>
      <w:r>
        <w:rPr>
          <w:rFonts w:ascii="sans-serif" w:hAnsi="sans-serif"/>
          <w:sz w:val="30"/>
        </w:rPr>
        <w:t>Ф, через который инвестируются средства «молчунов»,— его доходность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составила около 6,7% (см. "Ъ" от 25 января). Впрочем, показатели </w:t>
      </w:r>
      <w:r>
        <w:rPr>
          <w:rFonts w:ascii="sans-serif" w:hAnsi="sans-serif"/>
          <w:sz w:val="30"/>
        </w:rPr>
        <w:t>НПФ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оказались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ниже доходности по портфелю государс</w:t>
      </w:r>
      <w:r>
        <w:rPr>
          <w:rFonts w:ascii="sans-serif" w:hAnsi="sans-serif"/>
          <w:sz w:val="30"/>
        </w:rPr>
        <w:t xml:space="preserve">твенных ценных бумаг </w:t>
      </w:r>
      <w:proofErr w:type="spellStart"/>
      <w:r>
        <w:rPr>
          <w:rFonts w:ascii="sans-serif" w:hAnsi="sans-serif"/>
          <w:sz w:val="30"/>
        </w:rPr>
        <w:t>ВЭБа</w:t>
      </w:r>
      <w:proofErr w:type="spellEnd"/>
      <w:r>
        <w:rPr>
          <w:rFonts w:ascii="sans-serif" w:hAnsi="sans-serif"/>
          <w:sz w:val="30"/>
        </w:rPr>
        <w:t xml:space="preserve"> (около 8%) и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результатов частных УК, в среднем заработавших для клиентов 8,9% годовых.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Из топ-15 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ОПС лишь два показали доходность ниже </w:t>
      </w:r>
      <w:proofErr w:type="gramStart"/>
      <w:r>
        <w:rPr>
          <w:rFonts w:ascii="sans-serif" w:hAnsi="sans-serif"/>
          <w:sz w:val="30"/>
        </w:rPr>
        <w:t>государственной</w:t>
      </w:r>
      <w:proofErr w:type="gramEnd"/>
      <w:r>
        <w:rPr>
          <w:rFonts w:ascii="sans-serif" w:hAnsi="sans-serif"/>
          <w:sz w:val="30"/>
        </w:rPr>
        <w:t xml:space="preserve"> УК. Они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входили в прошлом году в пятерку </w:t>
      </w:r>
      <w:proofErr w:type="gramStart"/>
      <w:r>
        <w:rPr>
          <w:rFonts w:ascii="sans-serif" w:hAnsi="sans-serif"/>
          <w:sz w:val="30"/>
        </w:rPr>
        <w:t>крупнейших</w:t>
      </w:r>
      <w:proofErr w:type="gramEnd"/>
      <w:r>
        <w:rPr>
          <w:rFonts w:ascii="sans-serif" w:hAnsi="sans-serif"/>
          <w:sz w:val="30"/>
        </w:rPr>
        <w:t xml:space="preserve"> и оказали серьезное</w:t>
      </w:r>
      <w:r>
        <w:rPr>
          <w:rFonts w:ascii="sans-serif" w:hAnsi="sans-serif"/>
          <w:sz w:val="30"/>
        </w:rPr>
        <w:t xml:space="preserve"> давление на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средневзвешенный результат. В целом разброс доходности попавших в выборку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частных фондов составляет 3,5–9,5%, лучший результат показал </w:t>
      </w:r>
      <w:r>
        <w:rPr>
          <w:rFonts w:ascii="sans-serif" w:hAnsi="sans-serif"/>
          <w:sz w:val="30"/>
        </w:rPr>
        <w:t>НПФ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«Социум».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Вместе с тем медианная доходность </w:t>
      </w:r>
      <w:r>
        <w:rPr>
          <w:rFonts w:ascii="sans-serif" w:hAnsi="sans-serif"/>
          <w:sz w:val="30"/>
        </w:rPr>
        <w:t>НПФ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(без учета результатов самого худшего и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самого лучшего</w:t>
      </w:r>
      <w:r>
        <w:rPr>
          <w:rFonts w:ascii="sans-serif" w:hAnsi="sans-serif"/>
          <w:sz w:val="30"/>
        </w:rPr>
        <w:t xml:space="preserve"> и без учета размеров фондов) составила 7,8%, что сравнимо с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показателем портфеля госбумаг </w:t>
      </w:r>
      <w:proofErr w:type="spellStart"/>
      <w:r>
        <w:rPr>
          <w:rFonts w:ascii="sans-serif" w:hAnsi="sans-serif"/>
          <w:sz w:val="30"/>
        </w:rPr>
        <w:t>ВЭБа</w:t>
      </w:r>
      <w:proofErr w:type="spellEnd"/>
      <w:r>
        <w:rPr>
          <w:rFonts w:ascii="sans-serif" w:hAnsi="sans-serif"/>
          <w:sz w:val="30"/>
        </w:rPr>
        <w:t>.</w:t>
      </w:r>
    </w:p>
    <w:p w:rsidR="009B4775" w:rsidRDefault="008B009C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НПФ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имеют право на получение вознаграждения до 0,75% от накоплений и до 15% от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полученного </w:t>
      </w:r>
      <w:proofErr w:type="spellStart"/>
      <w:r>
        <w:rPr>
          <w:rFonts w:ascii="sans-serif" w:hAnsi="sans-serif"/>
          <w:sz w:val="30"/>
        </w:rPr>
        <w:t>инвестдохода</w:t>
      </w:r>
      <w:proofErr w:type="spellEnd"/>
      <w:r>
        <w:rPr>
          <w:rFonts w:ascii="sans-serif" w:hAnsi="sans-serif"/>
          <w:sz w:val="30"/>
        </w:rPr>
        <w:t>, так что реальная доходность, разносимая по счетам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клиентов, будет ниже инвестиционной доходности в пределах 2 процентных пунктов.</w:t>
      </w:r>
      <w:r w:rsidRPr="008B009C">
        <w:rPr>
          <w:rFonts w:ascii="sans-serif" w:hAnsi="sans-serif"/>
          <w:sz w:val="30"/>
        </w:rPr>
        <w:t xml:space="preserve"> </w:t>
      </w:r>
      <w:proofErr w:type="gramEnd"/>
      <w:r>
        <w:rPr>
          <w:rFonts w:ascii="sans-serif" w:hAnsi="sans-serif"/>
          <w:sz w:val="30"/>
        </w:rPr>
        <w:t>После провального первого квартала, когда на фоне турбулентности финансового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рынка убыток 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8B009C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по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пенсионным накоплениям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составил 1,6% </w:t>
      </w:r>
      <w:proofErr w:type="gramStart"/>
      <w:r>
        <w:rPr>
          <w:rFonts w:ascii="sans-serif" w:hAnsi="sans-serif"/>
          <w:sz w:val="30"/>
        </w:rPr>
        <w:t>годовых</w:t>
      </w:r>
      <w:proofErr w:type="gramEnd"/>
      <w:r>
        <w:rPr>
          <w:rFonts w:ascii="sans-serif" w:hAnsi="sans-serif"/>
          <w:sz w:val="30"/>
        </w:rPr>
        <w:t>, на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протяжении всего года фонды </w:t>
      </w:r>
      <w:r>
        <w:rPr>
          <w:rFonts w:ascii="sans-serif" w:hAnsi="sans-serif"/>
          <w:sz w:val="30"/>
        </w:rPr>
        <w:t>наращивали результаты: в первом полугодии доходность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составляла уже 5,7%, а по итогам девяти месяцев — 6,4% (см. "Ъ" от 6 ноября 2020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года). Таким образом, четвертый квартал также оказался для </w:t>
      </w:r>
      <w:r>
        <w:rPr>
          <w:rFonts w:ascii="sans-serif" w:hAnsi="sans-serif"/>
          <w:sz w:val="30"/>
        </w:rPr>
        <w:lastRenderedPageBreak/>
        <w:t>частных фондов удачным,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схожую динамику показали и частные УК. </w:t>
      </w:r>
      <w:r>
        <w:rPr>
          <w:rFonts w:ascii="sans-serif" w:hAnsi="sans-serif"/>
          <w:sz w:val="30"/>
        </w:rPr>
        <w:t xml:space="preserve">По портфелям </w:t>
      </w:r>
      <w:proofErr w:type="spellStart"/>
      <w:r>
        <w:rPr>
          <w:rFonts w:ascii="sans-serif" w:hAnsi="sans-serif"/>
          <w:sz w:val="30"/>
        </w:rPr>
        <w:t>ВЭБа</w:t>
      </w:r>
      <w:proofErr w:type="spellEnd"/>
      <w:r>
        <w:rPr>
          <w:rFonts w:ascii="sans-serif" w:hAnsi="sans-serif"/>
          <w:sz w:val="30"/>
        </w:rPr>
        <w:t>, наоборот, доходности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 втором полугодии пошли на снижение.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 частным УК, и </w:t>
      </w:r>
      <w:r>
        <w:rPr>
          <w:rFonts w:ascii="sans-serif" w:hAnsi="sans-serif"/>
          <w:sz w:val="30"/>
        </w:rPr>
        <w:t>НПФ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дополнительную доходность помогли показать рисковые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активы, интерес к которым фонды начали проявлять еще больше года назад (см. "Ъ" от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16 января и 9 декабря</w:t>
      </w:r>
      <w:r>
        <w:rPr>
          <w:rFonts w:ascii="sans-serif" w:hAnsi="sans-serif"/>
          <w:sz w:val="30"/>
        </w:rPr>
        <w:t xml:space="preserve"> 2020 года). Так, агрессивный индекс </w:t>
      </w:r>
      <w:r>
        <w:rPr>
          <w:rFonts w:ascii="sans-serif" w:hAnsi="sans-serif"/>
          <w:sz w:val="30"/>
        </w:rPr>
        <w:t>пенсионных накоплений</w:t>
      </w:r>
      <w:r w:rsidRPr="008B009C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Мосбиржи</w:t>
      </w:r>
      <w:proofErr w:type="spellEnd"/>
      <w:r>
        <w:rPr>
          <w:rFonts w:ascii="sans-serif" w:hAnsi="sans-serif"/>
          <w:sz w:val="30"/>
        </w:rPr>
        <w:t xml:space="preserve"> (по 40% корпоративные облигации и акции и 20% ОФЗ) за прошлый год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вырос на 9,1%, сбалансированный индекс (70% корпоративные облигации, 20% ОФЗ,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10% акции) прибавил 8,7%, а консервативный </w:t>
      </w:r>
      <w:r>
        <w:rPr>
          <w:rFonts w:ascii="sans-serif" w:hAnsi="sans-serif"/>
          <w:sz w:val="30"/>
        </w:rPr>
        <w:t>индекс (85% корпоративных бондов и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15% из </w:t>
      </w:r>
      <w:proofErr w:type="spellStart"/>
      <w:r>
        <w:rPr>
          <w:rFonts w:ascii="sans-serif" w:hAnsi="sans-serif"/>
          <w:sz w:val="30"/>
        </w:rPr>
        <w:t>гособлигаций</w:t>
      </w:r>
      <w:proofErr w:type="spellEnd"/>
      <w:r>
        <w:rPr>
          <w:rFonts w:ascii="sans-serif" w:hAnsi="sans-serif"/>
          <w:sz w:val="30"/>
        </w:rPr>
        <w:t>) — на 8,5%.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отмечает гендиректор </w:t>
      </w:r>
      <w:r>
        <w:rPr>
          <w:rFonts w:ascii="sans-serif" w:hAnsi="sans-serif"/>
          <w:sz w:val="30"/>
        </w:rPr>
        <w:t>НПФ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«Национальный» Ирина </w:t>
      </w:r>
      <w:proofErr w:type="spellStart"/>
      <w:r>
        <w:rPr>
          <w:rFonts w:ascii="sans-serif" w:hAnsi="sans-serif"/>
          <w:sz w:val="30"/>
        </w:rPr>
        <w:t>Акопджанова</w:t>
      </w:r>
      <w:proofErr w:type="spellEnd"/>
      <w:r>
        <w:rPr>
          <w:rFonts w:ascii="sans-serif" w:hAnsi="sans-serif"/>
          <w:sz w:val="30"/>
        </w:rPr>
        <w:t>, «итоговая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доходность фонда (7,6%.—) оказалась не только выше инфляции, но и выше средних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ставок по депозитам». В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НПФ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«Будуще</w:t>
      </w:r>
      <w:r>
        <w:rPr>
          <w:rFonts w:ascii="sans-serif" w:hAnsi="sans-serif"/>
          <w:sz w:val="30"/>
        </w:rPr>
        <w:t>е» доходность оказалась выше расширенного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портфеля </w:t>
      </w:r>
      <w:proofErr w:type="spellStart"/>
      <w:r>
        <w:rPr>
          <w:rFonts w:ascii="sans-serif" w:hAnsi="sans-serif"/>
          <w:sz w:val="30"/>
        </w:rPr>
        <w:t>ВЭБа</w:t>
      </w:r>
      <w:proofErr w:type="spellEnd"/>
      <w:r>
        <w:rPr>
          <w:rFonts w:ascii="sans-serif" w:hAnsi="sans-serif"/>
          <w:sz w:val="30"/>
        </w:rPr>
        <w:t>. «Для достижения этого результата мы работали над качеством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активов, фиксировали активы по амортизационной стоимости»,— отметили в фонде. В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«ВТБ 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 фонде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» занимают «взвешенную позицию при </w:t>
      </w:r>
      <w:r>
        <w:rPr>
          <w:rFonts w:ascii="sans-serif" w:hAnsi="sans-serif"/>
          <w:sz w:val="30"/>
        </w:rPr>
        <w:t>инвестировании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накоплений, чтобы гарантировать доходность даже во времена турбулентности на</w:t>
      </w:r>
      <w:r w:rsidRPr="008B009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рынках», отметила его гендиректор Лариса </w:t>
      </w:r>
      <w:proofErr w:type="spellStart"/>
      <w:r>
        <w:rPr>
          <w:rFonts w:ascii="sans-serif" w:hAnsi="sans-serif"/>
          <w:sz w:val="30"/>
        </w:rPr>
        <w:t>Горчаковская</w:t>
      </w:r>
      <w:proofErr w:type="spellEnd"/>
      <w:r>
        <w:rPr>
          <w:rFonts w:ascii="sans-serif" w:hAnsi="sans-serif"/>
          <w:sz w:val="30"/>
        </w:rPr>
        <w:t>.</w:t>
      </w:r>
    </w:p>
    <w:p w:rsidR="009B4775" w:rsidRDefault="008B009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«Ключевая задача ГУК не самая высокая доходность на рынке, а обеспечение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сохранности накоплений при любом </w:t>
      </w:r>
      <w:r>
        <w:rPr>
          <w:rFonts w:ascii="sans-serif" w:hAnsi="sans-serif"/>
          <w:sz w:val="30"/>
        </w:rPr>
        <w:t>сценарии и превышение инфляции как ключевого</w:t>
      </w:r>
      <w:r>
        <w:rPr>
          <w:rFonts w:ascii="sans-serif" w:hAnsi="sans-serif"/>
          <w:sz w:val="30"/>
          <w:lang w:val="en-US"/>
        </w:rPr>
        <w:t xml:space="preserve"> </w:t>
      </w:r>
      <w:proofErr w:type="spellStart"/>
      <w:r>
        <w:rPr>
          <w:rFonts w:ascii="sans-serif" w:hAnsi="sans-serif"/>
          <w:sz w:val="30"/>
        </w:rPr>
        <w:t>бенчмарка</w:t>
      </w:r>
      <w:proofErr w:type="spellEnd"/>
      <w:r>
        <w:rPr>
          <w:rFonts w:ascii="sans-serif" w:hAnsi="sans-serif"/>
          <w:sz w:val="30"/>
        </w:rPr>
        <w:t xml:space="preserve">»,— ранее отмечали в </w:t>
      </w:r>
      <w:proofErr w:type="spellStart"/>
      <w:r>
        <w:rPr>
          <w:rFonts w:ascii="sans-serif" w:hAnsi="sans-serif"/>
          <w:sz w:val="30"/>
        </w:rPr>
        <w:t>ВЭБе</w:t>
      </w:r>
      <w:proofErr w:type="spellEnd"/>
      <w:r>
        <w:rPr>
          <w:rFonts w:ascii="sans-serif" w:hAnsi="sans-serif"/>
          <w:sz w:val="30"/>
        </w:rPr>
        <w:t>, настаивая, что являются «самым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консервативным инвестором на рынке».</w:t>
      </w:r>
    </w:p>
    <w:p w:rsidR="009B4775" w:rsidRDefault="009B4775"/>
    <w:sectPr w:rsidR="009B4775" w:rsidSect="009B477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9B4775"/>
    <w:rsid w:val="008B009C"/>
    <w:rsid w:val="009B4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B4775"/>
  </w:style>
  <w:style w:type="paragraph" w:styleId="10">
    <w:name w:val="heading 1"/>
    <w:next w:val="a"/>
    <w:link w:val="11"/>
    <w:uiPriority w:val="9"/>
    <w:qFormat/>
    <w:rsid w:val="009B477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B477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B477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B477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B477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B4775"/>
  </w:style>
  <w:style w:type="paragraph" w:styleId="21">
    <w:name w:val="toc 2"/>
    <w:next w:val="a"/>
    <w:link w:val="22"/>
    <w:uiPriority w:val="39"/>
    <w:rsid w:val="009B4775"/>
    <w:pPr>
      <w:ind w:left="200"/>
    </w:pPr>
  </w:style>
  <w:style w:type="character" w:customStyle="1" w:styleId="22">
    <w:name w:val="Оглавление 2 Знак"/>
    <w:link w:val="21"/>
    <w:rsid w:val="009B4775"/>
  </w:style>
  <w:style w:type="paragraph" w:styleId="41">
    <w:name w:val="toc 4"/>
    <w:next w:val="a"/>
    <w:link w:val="42"/>
    <w:uiPriority w:val="39"/>
    <w:rsid w:val="009B4775"/>
    <w:pPr>
      <w:ind w:left="600"/>
    </w:pPr>
  </w:style>
  <w:style w:type="character" w:customStyle="1" w:styleId="42">
    <w:name w:val="Оглавление 4 Знак"/>
    <w:link w:val="41"/>
    <w:rsid w:val="009B4775"/>
  </w:style>
  <w:style w:type="paragraph" w:styleId="6">
    <w:name w:val="toc 6"/>
    <w:next w:val="a"/>
    <w:link w:val="60"/>
    <w:uiPriority w:val="39"/>
    <w:rsid w:val="009B4775"/>
    <w:pPr>
      <w:ind w:left="1000"/>
    </w:pPr>
  </w:style>
  <w:style w:type="character" w:customStyle="1" w:styleId="60">
    <w:name w:val="Оглавление 6 Знак"/>
    <w:link w:val="6"/>
    <w:rsid w:val="009B4775"/>
  </w:style>
  <w:style w:type="paragraph" w:styleId="7">
    <w:name w:val="toc 7"/>
    <w:next w:val="a"/>
    <w:link w:val="70"/>
    <w:uiPriority w:val="39"/>
    <w:rsid w:val="009B4775"/>
    <w:pPr>
      <w:ind w:left="1200"/>
    </w:pPr>
  </w:style>
  <w:style w:type="character" w:customStyle="1" w:styleId="70">
    <w:name w:val="Оглавление 7 Знак"/>
    <w:link w:val="7"/>
    <w:rsid w:val="009B4775"/>
  </w:style>
  <w:style w:type="character" w:customStyle="1" w:styleId="30">
    <w:name w:val="Заголовок 3 Знак"/>
    <w:link w:val="3"/>
    <w:rsid w:val="009B4775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9B4775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B4775"/>
    <w:rPr>
      <w:i/>
      <w:sz w:val="24"/>
    </w:rPr>
  </w:style>
  <w:style w:type="paragraph" w:styleId="31">
    <w:name w:val="toc 3"/>
    <w:next w:val="a"/>
    <w:link w:val="32"/>
    <w:uiPriority w:val="39"/>
    <w:rsid w:val="009B4775"/>
    <w:pPr>
      <w:ind w:left="400"/>
    </w:pPr>
  </w:style>
  <w:style w:type="character" w:customStyle="1" w:styleId="32">
    <w:name w:val="Оглавление 3 Знак"/>
    <w:link w:val="31"/>
    <w:rsid w:val="009B4775"/>
  </w:style>
  <w:style w:type="character" w:customStyle="1" w:styleId="50">
    <w:name w:val="Заголовок 5 Знак"/>
    <w:link w:val="5"/>
    <w:rsid w:val="009B477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B4775"/>
    <w:rPr>
      <w:rFonts w:ascii="XO Thames" w:hAnsi="XO Thames"/>
      <w:b/>
      <w:sz w:val="32"/>
    </w:rPr>
  </w:style>
  <w:style w:type="paragraph" w:styleId="a3">
    <w:name w:val="List"/>
    <w:basedOn w:val="Textbody"/>
    <w:link w:val="a4"/>
    <w:rsid w:val="009B4775"/>
  </w:style>
  <w:style w:type="character" w:customStyle="1" w:styleId="a4">
    <w:name w:val="Список Знак"/>
    <w:basedOn w:val="Textbody0"/>
    <w:link w:val="a3"/>
    <w:rsid w:val="009B4775"/>
  </w:style>
  <w:style w:type="paragraph" w:customStyle="1" w:styleId="12">
    <w:name w:val="Гиперссылка1"/>
    <w:link w:val="a5"/>
    <w:rsid w:val="009B4775"/>
    <w:rPr>
      <w:color w:val="0000FF"/>
      <w:u w:val="single"/>
    </w:rPr>
  </w:style>
  <w:style w:type="character" w:styleId="a5">
    <w:name w:val="Hyperlink"/>
    <w:link w:val="12"/>
    <w:rsid w:val="009B4775"/>
    <w:rPr>
      <w:color w:val="0000FF"/>
      <w:u w:val="single"/>
    </w:rPr>
  </w:style>
  <w:style w:type="paragraph" w:customStyle="1" w:styleId="Footnote">
    <w:name w:val="Footnote"/>
    <w:link w:val="Footnote0"/>
    <w:rsid w:val="009B477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B477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B4775"/>
    <w:rPr>
      <w:rFonts w:ascii="XO Thames" w:hAnsi="XO Thames"/>
      <w:b/>
    </w:rPr>
  </w:style>
  <w:style w:type="character" w:customStyle="1" w:styleId="14">
    <w:name w:val="Оглавление 1 Знак"/>
    <w:link w:val="13"/>
    <w:rsid w:val="009B4775"/>
    <w:rPr>
      <w:rFonts w:ascii="XO Thames" w:hAnsi="XO Thames"/>
      <w:b/>
    </w:rPr>
  </w:style>
  <w:style w:type="paragraph" w:customStyle="1" w:styleId="Heading">
    <w:name w:val="Heading"/>
    <w:basedOn w:val="a"/>
    <w:next w:val="Textbody"/>
    <w:link w:val="Heading0"/>
    <w:rsid w:val="009B477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B4775"/>
    <w:rPr>
      <w:rFonts w:ascii="Liberation Sans" w:hAnsi="Liberation Sans"/>
      <w:sz w:val="28"/>
    </w:rPr>
  </w:style>
  <w:style w:type="paragraph" w:customStyle="1" w:styleId="HeaderandFooter">
    <w:name w:val="Header and Footer"/>
    <w:link w:val="HeaderandFooter0"/>
    <w:rsid w:val="009B477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B4775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9B477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B4775"/>
  </w:style>
  <w:style w:type="paragraph" w:customStyle="1" w:styleId="Index">
    <w:name w:val="Index"/>
    <w:basedOn w:val="a"/>
    <w:link w:val="Index0"/>
    <w:rsid w:val="009B4775"/>
  </w:style>
  <w:style w:type="character" w:customStyle="1" w:styleId="Index0">
    <w:name w:val="Index"/>
    <w:basedOn w:val="1"/>
    <w:link w:val="Index"/>
    <w:rsid w:val="009B4775"/>
  </w:style>
  <w:style w:type="paragraph" w:styleId="9">
    <w:name w:val="toc 9"/>
    <w:next w:val="a"/>
    <w:link w:val="90"/>
    <w:uiPriority w:val="39"/>
    <w:rsid w:val="009B4775"/>
    <w:pPr>
      <w:ind w:left="1600"/>
    </w:pPr>
  </w:style>
  <w:style w:type="character" w:customStyle="1" w:styleId="90">
    <w:name w:val="Оглавление 9 Знак"/>
    <w:link w:val="9"/>
    <w:rsid w:val="009B4775"/>
  </w:style>
  <w:style w:type="paragraph" w:styleId="8">
    <w:name w:val="toc 8"/>
    <w:next w:val="a"/>
    <w:link w:val="80"/>
    <w:uiPriority w:val="39"/>
    <w:rsid w:val="009B4775"/>
    <w:pPr>
      <w:ind w:left="1400"/>
    </w:pPr>
  </w:style>
  <w:style w:type="character" w:customStyle="1" w:styleId="80">
    <w:name w:val="Оглавление 8 Знак"/>
    <w:link w:val="8"/>
    <w:rsid w:val="009B4775"/>
  </w:style>
  <w:style w:type="paragraph" w:styleId="51">
    <w:name w:val="toc 5"/>
    <w:next w:val="a"/>
    <w:link w:val="52"/>
    <w:uiPriority w:val="39"/>
    <w:rsid w:val="009B4775"/>
    <w:pPr>
      <w:ind w:left="800"/>
    </w:pPr>
  </w:style>
  <w:style w:type="character" w:customStyle="1" w:styleId="52">
    <w:name w:val="Оглавление 5 Знак"/>
    <w:link w:val="51"/>
    <w:rsid w:val="009B4775"/>
  </w:style>
  <w:style w:type="paragraph" w:styleId="a6">
    <w:name w:val="Subtitle"/>
    <w:next w:val="a"/>
    <w:link w:val="a7"/>
    <w:uiPriority w:val="11"/>
    <w:qFormat/>
    <w:rsid w:val="009B477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B477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B4775"/>
    <w:pPr>
      <w:ind w:left="1800"/>
    </w:pPr>
  </w:style>
  <w:style w:type="character" w:customStyle="1" w:styleId="toc100">
    <w:name w:val="toc 10"/>
    <w:link w:val="toc10"/>
    <w:rsid w:val="009B4775"/>
  </w:style>
  <w:style w:type="paragraph" w:styleId="a8">
    <w:name w:val="Title"/>
    <w:next w:val="a"/>
    <w:link w:val="a9"/>
    <w:uiPriority w:val="10"/>
    <w:qFormat/>
    <w:rsid w:val="009B477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B477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B477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B477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591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2021-02-05T09:29:00Z</dcterms:created>
  <dcterms:modified xsi:type="dcterms:W3CDTF">2021-02-05T09:36:00Z</dcterms:modified>
</cp:coreProperties>
</file>