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Переход на карту «МИР» продлен до 1 июля 2021 года</w:t>
      </w:r>
    </w:p>
    <w:p w14:paraId="02000000">
      <w:pPr>
        <w:pStyle w:val="Style_2"/>
      </w:pPr>
    </w:p>
    <w:p w14:paraId="03000000">
      <w:pPr>
        <w:pStyle w:val="Style_3"/>
      </w:pPr>
      <w:r>
        <w:t xml:space="preserve">ОПУБЛИКОВАНО 09.02.2021 12:24 ОБНОВЛЕНО 09.02.2021 12:03 </w:t>
      </w:r>
    </w:p>
    <w:p w14:paraId="04000000">
      <w:pPr>
        <w:pStyle w:val="Style_3"/>
        <w:ind/>
        <w:jc w:val="both"/>
      </w:pPr>
      <w:r>
        <w:t>Отделение ПФР по Республике Мордовия напоминает, что Банк России продлил срок перехода получателей пенсий и иных социальных выплат на карты национальной платежной системы «Мир» до 1 июля 2021 года.</w:t>
      </w:r>
    </w:p>
    <w:p w14:paraId="05000000">
      <w:pPr>
        <w:pStyle w:val="Style_3"/>
        <w:ind/>
        <w:jc w:val="both"/>
      </w:pPr>
      <w:r>
        <w:t>Удобнее всего передать новые реквизиты счета в Пенсионный фонд через сайт ПФР. Для подачи заявления, необходимо войти в «Личный кабинет гражданина» на сайте ПФР, используя логин и пароль от ЕПГУ. Далее для перевода выплаты пенсии на карту «Мир» в блоке «Пенсии» необходимо выбрать раздел «О доставке пенсии», заполнить данные, указав новые реквизиты, и отправить заявление. Уведомление о результате оказания услуги придет в течение 3 рабочих дней.</w:t>
      </w:r>
    </w:p>
    <w:p w14:paraId="06000000">
      <w:pPr>
        <w:pStyle w:val="Style_3"/>
        <w:ind/>
        <w:jc w:val="both"/>
      </w:pPr>
      <w:r>
        <w:t>Если у гражданина нет возможности воспользоваться Личным кабинетом, с новыми реквизитами можно обратиться в территориальный орган ПФР, обязательно предварительно записавшись на прием.  </w:t>
      </w:r>
    </w:p>
    <w:p w14:paraId="07000000">
      <w:pPr>
        <w:pStyle w:val="Style_3"/>
        <w:ind/>
        <w:jc w:val="both"/>
      </w:pPr>
      <w:r>
        <w:t>        Переходить на карту «МИР» нужно только тем гражданам, которые получают пенсии и иные социальные выплаты через банк и у кого для этих целей используются карты иных платежных систем (например, MasterCard илиVisa).</w:t>
      </w:r>
    </w:p>
    <w:p w14:paraId="08000000">
      <w:pPr>
        <w:pStyle w:val="Style_3"/>
        <w:ind/>
        <w:jc w:val="both"/>
      </w:pPr>
      <w:r>
        <w:t>Гражданам, получающим выплаты через отделения почтовой связи или на счета в кредитных организациях (без использования банковских карт) ничего делать не нужно. Для них ничего не изменится, пенсии будут доставляться по той же схеме, что и раньше.</w:t>
      </w:r>
    </w:p>
    <w:p w14:paraId="09000000">
      <w:pPr>
        <w:pStyle w:val="Style_3"/>
        <w:ind/>
        <w:jc w:val="both"/>
      </w:pPr>
      <w:r>
        <w:t> </w:t>
      </w:r>
    </w:p>
    <w:p w14:paraId="0A000000">
      <w:pPr>
        <w:pStyle w:val="Style_4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4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Caption"/>
    <w:basedOn w:val="Style_4"/>
    <w:link w:val="Style_7_ch"/>
    <w:pPr>
      <w:spacing w:after="120" w:before="120"/>
      <w:ind/>
    </w:pPr>
    <w:rPr>
      <w:i w:val="1"/>
      <w:sz w:val="24"/>
    </w:rPr>
  </w:style>
  <w:style w:styleId="Style_7_ch" w:type="character">
    <w:name w:val="Caption"/>
    <w:basedOn w:val="Style_4_ch"/>
    <w:link w:val="Style_7"/>
    <w:rPr>
      <w:i w:val="1"/>
      <w:sz w:val="24"/>
    </w:rPr>
  </w:style>
  <w:style w:styleId="Style_3" w:type="paragraph">
    <w:name w:val="Text body"/>
    <w:basedOn w:val="Style_4"/>
    <w:link w:val="Style_3_ch"/>
    <w:pPr>
      <w:spacing w:after="140" w:before="0" w:line="288" w:lineRule="auto"/>
      <w:ind/>
    </w:pPr>
  </w:style>
  <w:style w:styleId="Style_3_ch" w:type="character">
    <w:name w:val="Text body"/>
    <w:basedOn w:val="Style_4_ch"/>
    <w:link w:val="Style_3"/>
  </w:style>
  <w:style w:styleId="Style_8" w:type="paragraph">
    <w:name w:val="toc 6"/>
    <w:next w:val="Style_4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4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10" w:type="paragraph">
    <w:name w:val="heading 3"/>
    <w:next w:val="Style_4"/>
    <w:link w:val="Style_10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0_ch" w:type="character">
    <w:name w:val="heading 3"/>
    <w:link w:val="Style_10"/>
    <w:rPr>
      <w:rFonts w:ascii="XO Thames" w:hAnsi="XO Thames"/>
      <w:b w:val="1"/>
      <w:i w:val="1"/>
      <w:color w:val="000000"/>
    </w:rPr>
  </w:style>
  <w:style w:styleId="Style_11" w:type="paragraph">
    <w:name w:val="Heading"/>
    <w:basedOn w:val="Style_4"/>
    <w:next w:val="Style_3"/>
    <w:link w:val="Style_1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1_ch" w:type="character">
    <w:name w:val="Heading"/>
    <w:basedOn w:val="Style_4_ch"/>
    <w:link w:val="Style_11"/>
    <w:rPr>
      <w:rFonts w:ascii="Liberation Sans" w:hAnsi="Liberation Sans"/>
      <w:sz w:val="28"/>
    </w:rPr>
  </w:style>
  <w:style w:styleId="Style_12" w:type="paragraph">
    <w:name w:val="Index"/>
    <w:basedOn w:val="Style_4"/>
    <w:link w:val="Style_12_ch"/>
  </w:style>
  <w:style w:styleId="Style_12_ch" w:type="character">
    <w:name w:val="Index"/>
    <w:basedOn w:val="Style_4_ch"/>
    <w:link w:val="Style_12"/>
  </w:style>
  <w:style w:styleId="Style_13" w:type="paragraph">
    <w:name w:val="List"/>
    <w:basedOn w:val="Style_3"/>
    <w:link w:val="Style_13_ch"/>
  </w:style>
  <w:style w:styleId="Style_13_ch" w:type="character">
    <w:name w:val="List"/>
    <w:basedOn w:val="Style_3_ch"/>
    <w:link w:val="Style_13"/>
  </w:style>
  <w:style w:styleId="Style_14" w:type="paragraph">
    <w:name w:val="toc 3"/>
    <w:next w:val="Style_4"/>
    <w:link w:val="Style_14_ch"/>
    <w:uiPriority w:val="39"/>
    <w:pPr>
      <w:ind w:firstLine="0" w:left="400"/>
    </w:pPr>
  </w:style>
  <w:style w:styleId="Style_14_ch" w:type="character">
    <w:name w:val="toc 3"/>
    <w:link w:val="Style_14"/>
  </w:style>
  <w:style w:styleId="Style_15" w:type="paragraph">
    <w:name w:val="heading 5"/>
    <w:next w:val="Style_4"/>
    <w:link w:val="Style_15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5_ch" w:type="character">
    <w:name w:val="heading 5"/>
    <w:link w:val="Style_15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1"/>
    <w:next w:val="Style_3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1_ch"/>
    <w:link w:val="Style_1"/>
    <w:rPr>
      <w:rFonts w:ascii="Liberation Serif" w:hAnsi="Liberation Serif"/>
      <w:b w:val="1"/>
      <w:sz w:val="48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ind/>
      <w:jc w:val="left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ind w:firstLine="0" w:left="0"/>
    </w:pPr>
    <w:rPr>
      <w:rFonts w:ascii="XO Thames" w:hAnsi="XO Thames"/>
      <w:b w:val="1"/>
    </w:rPr>
  </w:style>
  <w:style w:styleId="Style_18_ch" w:type="character">
    <w:name w:val="toc 1"/>
    <w:link w:val="Style_18"/>
    <w:rPr>
      <w:rFonts w:ascii="XO Thames" w:hAnsi="XO Thames"/>
      <w:b w:val="1"/>
    </w:rPr>
  </w:style>
  <w:style w:styleId="Style_19" w:type="paragraph">
    <w:name w:val="Header and Footer"/>
    <w:link w:val="Style_19_ch"/>
    <w:pPr>
      <w:spacing w:line="360" w:lineRule="auto"/>
      <w:ind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4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" w:type="paragraph">
    <w:name w:val="Horizontal Line"/>
    <w:basedOn w:val="Style_4"/>
    <w:next w:val="Style_3"/>
    <w:link w:val="Style_2_ch"/>
    <w:pPr>
      <w:spacing w:after="283" w:before="0"/>
      <w:ind/>
    </w:pPr>
    <w:rPr>
      <w:sz w:val="12"/>
    </w:rPr>
  </w:style>
  <w:style w:styleId="Style_2_ch" w:type="character">
    <w:name w:val="Horizontal Line"/>
    <w:basedOn w:val="Style_4_ch"/>
    <w:link w:val="Style_2"/>
    <w:rPr>
      <w:sz w:val="12"/>
    </w:rPr>
  </w:style>
  <w:style w:styleId="Style_22" w:type="paragraph">
    <w:name w:val="toc 5"/>
    <w:next w:val="Style_4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4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4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4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4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27" w:type="paragraph">
    <w:name w:val="heading 2"/>
    <w:next w:val="Style_4"/>
    <w:link w:val="Style_27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7_ch" w:type="character">
    <w:name w:val="heading 2"/>
    <w:link w:val="Style_27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