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3B4" w:rsidRDefault="00116BA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РБК, 08.02.2021, 23:06, Власти обсудили возможность </w:t>
      </w:r>
    </w:p>
    <w:p w:rsidR="00F113B4" w:rsidRDefault="00116BA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вкладывать </w:t>
      </w:r>
      <w:proofErr w:type="spellStart"/>
      <w:r>
        <w:rPr>
          <w:rFonts w:ascii="sans-serif" w:hAnsi="sans-serif"/>
          <w:sz w:val="39"/>
        </w:rPr>
        <w:t>маткапитал</w:t>
      </w:r>
      <w:proofErr w:type="spellEnd"/>
      <w:r>
        <w:rPr>
          <w:rFonts w:ascii="sans-serif" w:hAnsi="sans-serif"/>
          <w:sz w:val="39"/>
        </w:rPr>
        <w:t xml:space="preserve"> в ценные бумаги</w:t>
      </w:r>
    </w:p>
    <w:p w:rsidR="00116BA3" w:rsidRPr="00116BA3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Среди идей о возможном расширении использования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обсуждается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предложение дать право вкладывать его в бумаги с минимальным риском и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пенсионные резервы 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, выяснил РБК. В правительстве отправили предложение на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доработку</w:t>
      </w:r>
      <w:r w:rsidRPr="00116BA3">
        <w:rPr>
          <w:rFonts w:ascii="sans-serif" w:hAnsi="sans-serif"/>
          <w:sz w:val="30"/>
        </w:rPr>
        <w:t xml:space="preserve"> 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Одна из идей, обсуждавшаяся на совещании у первого вице-премьера Андрея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Белоусова в начале февраля, — возможность размещать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в специальные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банковские или брокерские продукты, т</w:t>
      </w:r>
      <w:r>
        <w:rPr>
          <w:rFonts w:ascii="sans-serif" w:hAnsi="sans-serif"/>
          <w:sz w:val="30"/>
        </w:rPr>
        <w:t>акие как вклады в госбанках, облигации,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обеспеченные госгарантиями, или облигации, выпущенные госкомпаниями или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госбанками.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Расширение возможностей инвестирования 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включено в проект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«Дорожной карты по формированию и развитию механизмов и</w:t>
      </w:r>
      <w:r>
        <w:rPr>
          <w:rFonts w:ascii="sans-serif" w:hAnsi="sans-serif"/>
          <w:sz w:val="30"/>
        </w:rPr>
        <w:t>нвестиционного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развития РФ» (есть у РБК, подлинность подтвердил чиновник финансов</w:t>
      </w:r>
      <w:proofErr w:type="gramStart"/>
      <w:r>
        <w:rPr>
          <w:rFonts w:ascii="sans-serif" w:hAnsi="sans-serif"/>
          <w:sz w:val="30"/>
        </w:rPr>
        <w:t>о-</w:t>
      </w:r>
      <w:proofErr w:type="gramEnd"/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экономического блока). Оно рассматривается как один из способов «стимулировать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инвестиции физическими лицами на рынке капитала с целью обеспечения проектов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долгосрочным фин</w:t>
      </w:r>
      <w:r>
        <w:rPr>
          <w:rFonts w:ascii="sans-serif" w:hAnsi="sans-serif"/>
          <w:sz w:val="30"/>
        </w:rPr>
        <w:t>ансированием».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итогам совещания у Белоусова Минэкономразвития, Минтруду, Минфину и Банку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России было поручено дополнительно </w:t>
      </w:r>
      <w:proofErr w:type="gramStart"/>
      <w:r>
        <w:rPr>
          <w:rFonts w:ascii="sans-serif" w:hAnsi="sans-serif"/>
          <w:sz w:val="30"/>
        </w:rPr>
        <w:t>проработать</w:t>
      </w:r>
      <w:proofErr w:type="gramEnd"/>
      <w:r>
        <w:rPr>
          <w:rFonts w:ascii="sans-serif" w:hAnsi="sans-serif"/>
          <w:sz w:val="30"/>
        </w:rPr>
        <w:t xml:space="preserve"> инициативу об инвестировании</w:t>
      </w:r>
      <w:r w:rsidRPr="00116BA3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в финансовые инструменты, в том числе биржевые, или вовсе исключить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ее из пр</w:t>
      </w:r>
      <w:r>
        <w:rPr>
          <w:rFonts w:ascii="sans-serif" w:hAnsi="sans-serif"/>
          <w:sz w:val="30"/>
        </w:rPr>
        <w:t>оекта «дорожной карты». Копия протокола совещания, датированного 3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февраля 2021 года, есть у РБК, обсуждение проекта «дорожной карты» на совещании у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Белоусова подтвердили источник, близкий к его участникам, а также собеседник,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близкий к правительству.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Пред</w:t>
      </w:r>
      <w:r>
        <w:rPr>
          <w:rFonts w:ascii="sans-serif" w:hAnsi="sans-serif"/>
          <w:sz w:val="30"/>
        </w:rPr>
        <w:t xml:space="preserve">ложение предполагает, что «обналичить» тело </w:t>
      </w:r>
      <w:r>
        <w:rPr>
          <w:rFonts w:ascii="sans-serif" w:hAnsi="sans-serif"/>
          <w:sz w:val="30"/>
        </w:rPr>
        <w:t xml:space="preserve">материнского </w:t>
      </w:r>
      <w:r>
        <w:rPr>
          <w:rFonts w:ascii="sans-serif" w:hAnsi="sans-serif"/>
          <w:sz w:val="30"/>
        </w:rPr>
        <w:t>к</w:t>
      </w:r>
      <w:r>
        <w:rPr>
          <w:rFonts w:ascii="sans-serif" w:hAnsi="sans-serif"/>
          <w:sz w:val="30"/>
        </w:rPr>
        <w:t>апитала</w:t>
      </w:r>
      <w:r w:rsidRPr="00116BA3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>то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есть, например, вложить в облигации и вскоре вывести деньги, продав эти бумаги, —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нельзя. Семья сможет только получать на руки процентный доход от вклада или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облигации.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Вероятность реализации</w:t>
      </w:r>
      <w:proofErr w:type="gramStart"/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Минэкономразвития России подтвердили, что совместно с общественными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объединениями и заинтересованными ведомствами будут сформированы предложения,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как не просто сберечь, но и приумножить </w:t>
      </w:r>
      <w:r>
        <w:rPr>
          <w:rFonts w:ascii="sans-serif" w:hAnsi="sans-serif"/>
          <w:sz w:val="30"/>
        </w:rPr>
        <w:t>материнский капитал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через самые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консервативн</w:t>
      </w:r>
      <w:r>
        <w:rPr>
          <w:rFonts w:ascii="sans-serif" w:hAnsi="sans-serif"/>
          <w:sz w:val="30"/>
        </w:rPr>
        <w:t>ые инструменты. «Этот вопрос требует бережного отношения, поскольку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касается доходов российских семей с детьми. И рассматриваемые варианты должны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быть без рисков по отношению к </w:t>
      </w:r>
      <w:r>
        <w:rPr>
          <w:rFonts w:ascii="sans-serif" w:hAnsi="sans-serif"/>
          <w:sz w:val="30"/>
        </w:rPr>
        <w:t>материнскому капиталу</w:t>
      </w:r>
      <w:r>
        <w:rPr>
          <w:rFonts w:ascii="sans-serif" w:hAnsi="sans-serif"/>
          <w:sz w:val="30"/>
        </w:rPr>
        <w:t>. Как только будет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сформирована официальная позиция по </w:t>
      </w:r>
      <w:r>
        <w:rPr>
          <w:rFonts w:ascii="sans-serif" w:hAnsi="sans-serif"/>
          <w:sz w:val="30"/>
        </w:rPr>
        <w:t>этому вопросу, мы ее представим», — отметил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первый заместитель министра экономического развития России Андрей Иванов.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Пункт об инвестировании 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в финансовые инструменты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действительно представлен на обсуждение в рамках проекта «дорожной ка</w:t>
      </w:r>
      <w:r>
        <w:rPr>
          <w:rFonts w:ascii="sans-serif" w:hAnsi="sans-serif"/>
          <w:sz w:val="30"/>
        </w:rPr>
        <w:t>рты», но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речь может идти только об инвестировании в исключительно надежные инструменты,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категоричен собеседник РБК в финансово-экономическом блоке правительства.</w:t>
      </w:r>
    </w:p>
    <w:p w:rsidR="00F113B4" w:rsidRPr="00116BA3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Понимая риски, связанные с инвестициями, Банк России предл</w:t>
      </w:r>
      <w:r>
        <w:rPr>
          <w:rFonts w:ascii="sans-serif" w:hAnsi="sans-serif"/>
          <w:sz w:val="30"/>
        </w:rPr>
        <w:t>агает более узкую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трактовку этого пункта — инвестиции в пенсионные счета и пенсионные резервы, а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также накопительное страхование жизни, сообщили Р</w:t>
      </w:r>
      <w:proofErr w:type="gramStart"/>
      <w:r>
        <w:rPr>
          <w:rFonts w:ascii="sans-serif" w:hAnsi="sans-serif"/>
          <w:sz w:val="30"/>
        </w:rPr>
        <w:t>БК в пр</w:t>
      </w:r>
      <w:proofErr w:type="gramEnd"/>
      <w:r>
        <w:rPr>
          <w:rFonts w:ascii="sans-serif" w:hAnsi="sans-serif"/>
          <w:sz w:val="30"/>
        </w:rPr>
        <w:t>есс-службе регулятора.</w:t>
      </w:r>
      <w:r w:rsidRPr="00116BA3">
        <w:rPr>
          <w:rFonts w:ascii="sans-serif" w:hAnsi="sans-serif"/>
          <w:sz w:val="30"/>
        </w:rPr>
        <w:t xml:space="preserve"> 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«Это инструменты с минимальным риском, которые позволят сохранить изначальную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направленность выделения 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: долгосрочное улучшение условий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жизни семей с детьми», — пояснили в Банке России, отметив, что эти предложения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находятся в стадии обсуждения и еще не были детально проработаны с социальным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блоком правительст</w:t>
      </w:r>
      <w:r>
        <w:rPr>
          <w:rFonts w:ascii="sans-serif" w:hAnsi="sans-serif"/>
          <w:sz w:val="30"/>
        </w:rPr>
        <w:t>ва.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настоящее время один из разрешенных способов использования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уже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включает в себя пополнение 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накопительной пенсии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 (в составе обязательного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страхования</w:t>
      </w:r>
      <w:r>
        <w:rPr>
          <w:rFonts w:ascii="sans-serif" w:hAnsi="sans-serif"/>
          <w:sz w:val="30"/>
        </w:rPr>
        <w:t xml:space="preserve">). </w:t>
      </w:r>
      <w:proofErr w:type="gramStart"/>
      <w:r>
        <w:rPr>
          <w:rFonts w:ascii="sans-serif" w:hAnsi="sans-serif"/>
          <w:sz w:val="30"/>
        </w:rPr>
        <w:t xml:space="preserve">Однако </w:t>
      </w:r>
      <w:proofErr w:type="gramEnd"/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накопительная часть пенсии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целом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заморожена с 2014 года, </w:t>
      </w:r>
      <w:r>
        <w:rPr>
          <w:rFonts w:ascii="sans-serif" w:hAnsi="sans-serif"/>
          <w:sz w:val="30"/>
        </w:rPr>
        <w:t>заморозка постоянно продлевается (в последний раз до конца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2023 года). Предложение ЦБ предполагает, в частности, что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или его часть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можно будет направить на индивидуальный план в системе </w:t>
      </w:r>
      <w:proofErr w:type="gramStart"/>
      <w:r>
        <w:rPr>
          <w:rFonts w:ascii="sans-serif" w:hAnsi="sans-serif"/>
          <w:sz w:val="30"/>
        </w:rPr>
        <w:t>добровольного</w:t>
      </w:r>
      <w:proofErr w:type="gramEnd"/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негосударственного </w:t>
      </w:r>
      <w:r>
        <w:rPr>
          <w:rFonts w:ascii="sans-serif" w:hAnsi="sans-serif"/>
          <w:sz w:val="30"/>
        </w:rPr>
        <w:t>пенсионного страхования</w:t>
      </w:r>
      <w:r>
        <w:rPr>
          <w:rFonts w:ascii="sans-serif" w:hAnsi="sans-serif"/>
          <w:sz w:val="30"/>
        </w:rPr>
        <w:t>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Минфине запрос РБК перенаправили в Минэкономразвития. В Минтруде сообщили,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что данное предложение в министерство не поступало. РБК направил запрос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представителю первого вице-премьера Андрея Белоусова.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что сейчас можно тратить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</w:p>
    <w:p w:rsidR="00116BA3" w:rsidRPr="00116BA3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2021 году р</w:t>
      </w:r>
      <w:r>
        <w:rPr>
          <w:rFonts w:ascii="sans-serif" w:hAnsi="sans-serif"/>
          <w:sz w:val="30"/>
        </w:rPr>
        <w:t xml:space="preserve">азмер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составляет 483 882 руб. на первого ребенка, при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рождении второго ребенка он увеличивается еще на 155 550 руб. (таким образом,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общая сумма на двух детей — 639 432 руб.). Поскольку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 первого ребенка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был введен с 2020 года, семьи</w:t>
      </w:r>
      <w:r>
        <w:rPr>
          <w:rFonts w:ascii="sans-serif" w:hAnsi="sans-serif"/>
          <w:sz w:val="30"/>
        </w:rPr>
        <w:t>, где первый ребенок родился до этого времени, получают</w:t>
      </w:r>
      <w:r w:rsidRPr="00116BA3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 второго ребенка в размере 639 432 руб. В 2021 году </w:t>
      </w:r>
      <w:r w:rsidRPr="00116BA3">
        <w:rPr>
          <w:rFonts w:ascii="sans-serif" w:hAnsi="sans-serif"/>
          <w:sz w:val="30"/>
        </w:rPr>
        <w:t xml:space="preserve"> 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России направит на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443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Сейчас 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можно направить на улучшение жилищных условий </w:t>
      </w:r>
      <w:r>
        <w:rPr>
          <w:rFonts w:ascii="sans-serif" w:hAnsi="sans-serif"/>
          <w:sz w:val="30"/>
        </w:rPr>
        <w:t>(в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том числе на погашение основного долга или первоначального взноса по ипотеке),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образование ребенка (можно оплатить обучение детей в образовательных учреждениях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любого уровня — от детского сада до вуза), на 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накопительную пенсию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матери, а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также на товары</w:t>
      </w:r>
      <w:r>
        <w:rPr>
          <w:rFonts w:ascii="sans-serif" w:hAnsi="sans-serif"/>
          <w:sz w:val="30"/>
        </w:rPr>
        <w:t xml:space="preserve"> и услуги, предназначенные для социальной адаптации дете</w:t>
      </w:r>
      <w:proofErr w:type="gramStart"/>
      <w:r>
        <w:rPr>
          <w:rFonts w:ascii="sans-serif" w:hAnsi="sans-serif"/>
          <w:sz w:val="30"/>
        </w:rPr>
        <w:t>й-</w:t>
      </w:r>
      <w:proofErr w:type="gramEnd"/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инвалидов из перечня правительства.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Кроме того, семьи со среднедушевым доходом ниже двух прожиточных минимумов, в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которых второй ребенок родился после 1 января 2018 года, имеют право на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ежемесячную</w:t>
      </w:r>
      <w:r>
        <w:rPr>
          <w:rFonts w:ascii="sans-serif" w:hAnsi="sans-serif"/>
          <w:sz w:val="30"/>
        </w:rPr>
        <w:t xml:space="preserve"> выплату из средств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. Распределять средства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можно одновременно по нескольким направлениям, но наличные деньги по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сертификату получить нельзя (кроме ежемесячной выплаты).</w:t>
      </w:r>
    </w:p>
    <w:p w:rsidR="00116BA3" w:rsidRPr="00116BA3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Риски при инвестировании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 w:rsidRPr="00116BA3">
        <w:rPr>
          <w:rFonts w:ascii="sans-serif" w:hAnsi="sans-serif"/>
          <w:sz w:val="30"/>
        </w:rPr>
        <w:t xml:space="preserve"> 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«Идея выглядит интересной.</w:t>
      </w:r>
      <w:r>
        <w:rPr>
          <w:rFonts w:ascii="sans-serif" w:hAnsi="sans-serif"/>
          <w:sz w:val="30"/>
        </w:rPr>
        <w:t xml:space="preserve"> Как минимум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будет работать, обеспечивая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инвестиции в развитие экономики, а также доходность на уровне несколько выше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инфляции», — говорит </w:t>
      </w:r>
      <w:proofErr w:type="spellStart"/>
      <w:r>
        <w:rPr>
          <w:rFonts w:ascii="sans-serif" w:hAnsi="sans-serif"/>
          <w:sz w:val="30"/>
        </w:rPr>
        <w:t>предправления</w:t>
      </w:r>
      <w:proofErr w:type="spellEnd"/>
      <w:r>
        <w:rPr>
          <w:rFonts w:ascii="sans-serif" w:hAnsi="sans-serif"/>
          <w:sz w:val="30"/>
        </w:rPr>
        <w:t xml:space="preserve"> «</w:t>
      </w:r>
      <w:proofErr w:type="spellStart"/>
      <w:r>
        <w:rPr>
          <w:rFonts w:ascii="sans-serif" w:hAnsi="sans-serif"/>
          <w:sz w:val="30"/>
        </w:rPr>
        <w:t>Финама</w:t>
      </w:r>
      <w:proofErr w:type="spellEnd"/>
      <w:r>
        <w:rPr>
          <w:rFonts w:ascii="sans-serif" w:hAnsi="sans-serif"/>
          <w:sz w:val="30"/>
        </w:rPr>
        <w:t>» Владислав Кочетков. Вместе с тем, по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его мнению, нельзя исключать и интеграцию с ин</w:t>
      </w:r>
      <w:r>
        <w:rPr>
          <w:rFonts w:ascii="sans-serif" w:hAnsi="sans-serif"/>
          <w:sz w:val="30"/>
        </w:rPr>
        <w:t>дивидуальным инвестиционным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счетом (ИИС) третьего типа — так инвесторы получат определенные вычеты. «На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самом деле больших рисков тут нет. При существенном росте инфляции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подвергнется обесценению», — полагает он. Правительство возобновило ежег</w:t>
      </w:r>
      <w:r>
        <w:rPr>
          <w:rFonts w:ascii="sans-serif" w:hAnsi="sans-serif"/>
          <w:sz w:val="30"/>
        </w:rPr>
        <w:t>одную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индексацию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 уровень инфляции за предыдущий год с 2020 года. В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текущем году его размер был увеличен на 3,7%.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Управляющий партнер юридической фирмы </w:t>
      </w:r>
      <w:proofErr w:type="spellStart"/>
      <w:r>
        <w:rPr>
          <w:rFonts w:ascii="sans-serif" w:hAnsi="sans-serif"/>
          <w:sz w:val="30"/>
        </w:rPr>
        <w:t>Enterprise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Legal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Solutions</w:t>
      </w:r>
      <w:proofErr w:type="spellEnd"/>
      <w:r>
        <w:rPr>
          <w:rFonts w:ascii="sans-serif" w:hAnsi="sans-serif"/>
          <w:sz w:val="30"/>
        </w:rPr>
        <w:t xml:space="preserve"> Юрий Федюкин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назвал обсуждаемую инициативу «неоднозначной». Сам</w:t>
      </w:r>
      <w:r>
        <w:rPr>
          <w:rFonts w:ascii="sans-serif" w:hAnsi="sans-serif"/>
          <w:sz w:val="30"/>
        </w:rPr>
        <w:t xml:space="preserve"> по себе риск потери вложений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является неотъемлемой частью инвестиций, совершаемых с целью получения дохода,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напоминает он: «</w:t>
      </w:r>
      <w:proofErr w:type="spellStart"/>
      <w:r>
        <w:rPr>
          <w:rFonts w:ascii="sans-serif" w:hAnsi="sans-serif"/>
          <w:sz w:val="30"/>
        </w:rPr>
        <w:t>Безрисковых</w:t>
      </w:r>
      <w:proofErr w:type="spellEnd"/>
      <w:r>
        <w:rPr>
          <w:rFonts w:ascii="sans-serif" w:hAnsi="sans-serif"/>
          <w:sz w:val="30"/>
        </w:rPr>
        <w:t xml:space="preserve"> инструментов не бывает, не существует и не может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существовать законодательно закрепленных механизмов, гарантирующих сох</w:t>
      </w:r>
      <w:r>
        <w:rPr>
          <w:rFonts w:ascii="sans-serif" w:hAnsi="sans-serif"/>
          <w:sz w:val="30"/>
        </w:rPr>
        <w:t>ранность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вложений в случае реализации этих рисков».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Управляющий партнер BMS </w:t>
      </w:r>
      <w:proofErr w:type="spellStart"/>
      <w:r>
        <w:rPr>
          <w:rFonts w:ascii="sans-serif" w:hAnsi="sans-serif"/>
          <w:sz w:val="30"/>
        </w:rPr>
        <w:t>Group</w:t>
      </w:r>
      <w:proofErr w:type="spellEnd"/>
      <w:r>
        <w:rPr>
          <w:rFonts w:ascii="sans-serif" w:hAnsi="sans-serif"/>
          <w:sz w:val="30"/>
        </w:rPr>
        <w:t xml:space="preserve"> Алексей </w:t>
      </w:r>
      <w:proofErr w:type="spellStart"/>
      <w:r>
        <w:rPr>
          <w:rFonts w:ascii="sans-serif" w:hAnsi="sans-serif"/>
          <w:sz w:val="30"/>
        </w:rPr>
        <w:t>Матюхов</w:t>
      </w:r>
      <w:proofErr w:type="spellEnd"/>
      <w:r>
        <w:rPr>
          <w:rFonts w:ascii="sans-serif" w:hAnsi="sans-serif"/>
          <w:sz w:val="30"/>
        </w:rPr>
        <w:t xml:space="preserve"> уверен, что «перемещение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эти долговые бумаги однозначно приведет к увеличению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рисков».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Проблема </w:t>
      </w:r>
      <w:proofErr w:type="spellStart"/>
      <w:r>
        <w:rPr>
          <w:rFonts w:ascii="sans-serif" w:hAnsi="sans-serif"/>
          <w:sz w:val="30"/>
        </w:rPr>
        <w:t>обналичивания</w:t>
      </w:r>
      <w:proofErr w:type="spell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(законом это</w:t>
      </w:r>
      <w:r>
        <w:rPr>
          <w:rFonts w:ascii="sans-serif" w:hAnsi="sans-serif"/>
          <w:sz w:val="30"/>
        </w:rPr>
        <w:t xml:space="preserve"> запрещено) связана с тем, что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предоставляемые законодательством возможности не предполагают направление</w:t>
      </w:r>
    </w:p>
    <w:p w:rsidR="00F113B4" w:rsidRDefault="00116BA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полученных от государства средств на текущие реальные потребности семьи и ребенка,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которые всегда будут выше, чем потребности инвестировать, указывает </w:t>
      </w:r>
      <w:r>
        <w:rPr>
          <w:rFonts w:ascii="sans-serif" w:hAnsi="sans-serif"/>
          <w:sz w:val="30"/>
        </w:rPr>
        <w:t>заведующий</w:t>
      </w:r>
      <w:r w:rsidRPr="00116BA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Лабораторией финансовой грамотности Экономического факультета МГУ Ростислав</w:t>
      </w:r>
      <w:r w:rsidRPr="00116BA3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Кокорев</w:t>
      </w:r>
      <w:proofErr w:type="spellEnd"/>
      <w:r>
        <w:rPr>
          <w:rFonts w:ascii="sans-serif" w:hAnsi="sans-serif"/>
          <w:sz w:val="30"/>
        </w:rPr>
        <w:t>, сомневаясь в наличии спроса среди российских семей на вложение средств</w:t>
      </w:r>
      <w:r w:rsidRPr="00116BA3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в финансовые инструменты. Вместе с тем, поскольку инвестирование</w:t>
      </w:r>
      <w:r>
        <w:rPr>
          <w:rFonts w:ascii="sans-serif" w:hAnsi="sans-serif"/>
          <w:sz w:val="30"/>
          <w:lang w:val="en-US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иметь ограничения на вывод средств, администрирование таких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вложений будет достаточно сложным, предупреждает он.</w:t>
      </w:r>
    </w:p>
    <w:p w:rsidR="00F113B4" w:rsidRDefault="00F113B4"/>
    <w:sectPr w:rsidR="00F113B4" w:rsidSect="00F113B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compat/>
  <w:rsids>
    <w:rsidRoot w:val="00F113B4"/>
    <w:rsid w:val="00116BA3"/>
    <w:rsid w:val="00F11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113B4"/>
  </w:style>
  <w:style w:type="paragraph" w:styleId="10">
    <w:name w:val="heading 1"/>
    <w:next w:val="a"/>
    <w:link w:val="11"/>
    <w:uiPriority w:val="9"/>
    <w:qFormat/>
    <w:rsid w:val="00F113B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113B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113B4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113B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113B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113B4"/>
  </w:style>
  <w:style w:type="paragraph" w:styleId="21">
    <w:name w:val="toc 2"/>
    <w:next w:val="a"/>
    <w:link w:val="22"/>
    <w:uiPriority w:val="39"/>
    <w:rsid w:val="00F113B4"/>
    <w:pPr>
      <w:ind w:left="200"/>
    </w:pPr>
  </w:style>
  <w:style w:type="character" w:customStyle="1" w:styleId="22">
    <w:name w:val="Оглавление 2 Знак"/>
    <w:link w:val="21"/>
    <w:rsid w:val="00F113B4"/>
  </w:style>
  <w:style w:type="paragraph" w:styleId="41">
    <w:name w:val="toc 4"/>
    <w:next w:val="a"/>
    <w:link w:val="42"/>
    <w:uiPriority w:val="39"/>
    <w:rsid w:val="00F113B4"/>
    <w:pPr>
      <w:ind w:left="600"/>
    </w:pPr>
  </w:style>
  <w:style w:type="character" w:customStyle="1" w:styleId="42">
    <w:name w:val="Оглавление 4 Знак"/>
    <w:link w:val="41"/>
    <w:rsid w:val="00F113B4"/>
  </w:style>
  <w:style w:type="paragraph" w:styleId="6">
    <w:name w:val="toc 6"/>
    <w:next w:val="a"/>
    <w:link w:val="60"/>
    <w:uiPriority w:val="39"/>
    <w:rsid w:val="00F113B4"/>
    <w:pPr>
      <w:ind w:left="1000"/>
    </w:pPr>
  </w:style>
  <w:style w:type="character" w:customStyle="1" w:styleId="60">
    <w:name w:val="Оглавление 6 Знак"/>
    <w:link w:val="6"/>
    <w:rsid w:val="00F113B4"/>
  </w:style>
  <w:style w:type="paragraph" w:styleId="7">
    <w:name w:val="toc 7"/>
    <w:next w:val="a"/>
    <w:link w:val="70"/>
    <w:uiPriority w:val="39"/>
    <w:rsid w:val="00F113B4"/>
    <w:pPr>
      <w:ind w:left="1200"/>
    </w:pPr>
  </w:style>
  <w:style w:type="character" w:customStyle="1" w:styleId="70">
    <w:name w:val="Оглавление 7 Знак"/>
    <w:link w:val="7"/>
    <w:rsid w:val="00F113B4"/>
  </w:style>
  <w:style w:type="character" w:customStyle="1" w:styleId="30">
    <w:name w:val="Заголовок 3 Знак"/>
    <w:link w:val="3"/>
    <w:rsid w:val="00F113B4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F113B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113B4"/>
  </w:style>
  <w:style w:type="paragraph" w:customStyle="1" w:styleId="Heading">
    <w:name w:val="Heading"/>
    <w:basedOn w:val="a"/>
    <w:next w:val="Textbody"/>
    <w:link w:val="Heading0"/>
    <w:rsid w:val="00F113B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113B4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F113B4"/>
  </w:style>
  <w:style w:type="character" w:customStyle="1" w:styleId="Index0">
    <w:name w:val="Index"/>
    <w:basedOn w:val="1"/>
    <w:link w:val="Index"/>
    <w:rsid w:val="00F113B4"/>
  </w:style>
  <w:style w:type="paragraph" w:styleId="31">
    <w:name w:val="toc 3"/>
    <w:next w:val="a"/>
    <w:link w:val="32"/>
    <w:uiPriority w:val="39"/>
    <w:rsid w:val="00F113B4"/>
    <w:pPr>
      <w:ind w:left="400"/>
    </w:pPr>
  </w:style>
  <w:style w:type="character" w:customStyle="1" w:styleId="32">
    <w:name w:val="Оглавление 3 Знак"/>
    <w:link w:val="31"/>
    <w:rsid w:val="00F113B4"/>
  </w:style>
  <w:style w:type="paragraph" w:customStyle="1" w:styleId="Caption">
    <w:name w:val="Caption"/>
    <w:basedOn w:val="a"/>
    <w:link w:val="Caption0"/>
    <w:rsid w:val="00F113B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113B4"/>
    <w:rPr>
      <w:i/>
      <w:sz w:val="24"/>
    </w:rPr>
  </w:style>
  <w:style w:type="character" w:customStyle="1" w:styleId="50">
    <w:name w:val="Заголовок 5 Знак"/>
    <w:link w:val="5"/>
    <w:rsid w:val="00F113B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113B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113B4"/>
    <w:rPr>
      <w:color w:val="0000FF"/>
      <w:u w:val="single"/>
    </w:rPr>
  </w:style>
  <w:style w:type="character" w:styleId="a3">
    <w:name w:val="Hyperlink"/>
    <w:link w:val="12"/>
    <w:rsid w:val="00F113B4"/>
    <w:rPr>
      <w:color w:val="0000FF"/>
      <w:u w:val="single"/>
    </w:rPr>
  </w:style>
  <w:style w:type="paragraph" w:customStyle="1" w:styleId="Footnote">
    <w:name w:val="Footnote"/>
    <w:link w:val="Footnote0"/>
    <w:rsid w:val="00F113B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113B4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113B4"/>
    <w:rPr>
      <w:rFonts w:ascii="XO Thames" w:hAnsi="XO Thames"/>
      <w:b/>
    </w:rPr>
  </w:style>
  <w:style w:type="character" w:customStyle="1" w:styleId="14">
    <w:name w:val="Оглавление 1 Знак"/>
    <w:link w:val="13"/>
    <w:rsid w:val="00F113B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113B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113B4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113B4"/>
    <w:pPr>
      <w:ind w:left="1600"/>
    </w:pPr>
  </w:style>
  <w:style w:type="character" w:customStyle="1" w:styleId="90">
    <w:name w:val="Оглавление 9 Знак"/>
    <w:link w:val="9"/>
    <w:rsid w:val="00F113B4"/>
  </w:style>
  <w:style w:type="paragraph" w:styleId="8">
    <w:name w:val="toc 8"/>
    <w:next w:val="a"/>
    <w:link w:val="80"/>
    <w:uiPriority w:val="39"/>
    <w:rsid w:val="00F113B4"/>
    <w:pPr>
      <w:ind w:left="1400"/>
    </w:pPr>
  </w:style>
  <w:style w:type="character" w:customStyle="1" w:styleId="80">
    <w:name w:val="Оглавление 8 Знак"/>
    <w:link w:val="8"/>
    <w:rsid w:val="00F113B4"/>
  </w:style>
  <w:style w:type="paragraph" w:styleId="51">
    <w:name w:val="toc 5"/>
    <w:next w:val="a"/>
    <w:link w:val="52"/>
    <w:uiPriority w:val="39"/>
    <w:rsid w:val="00F113B4"/>
    <w:pPr>
      <w:ind w:left="800"/>
    </w:pPr>
  </w:style>
  <w:style w:type="character" w:customStyle="1" w:styleId="52">
    <w:name w:val="Оглавление 5 Знак"/>
    <w:link w:val="51"/>
    <w:rsid w:val="00F113B4"/>
  </w:style>
  <w:style w:type="paragraph" w:styleId="a4">
    <w:name w:val="Subtitle"/>
    <w:next w:val="a"/>
    <w:link w:val="a5"/>
    <w:uiPriority w:val="11"/>
    <w:qFormat/>
    <w:rsid w:val="00F113B4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F113B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113B4"/>
    <w:pPr>
      <w:ind w:left="1800"/>
    </w:pPr>
  </w:style>
  <w:style w:type="character" w:customStyle="1" w:styleId="toc100">
    <w:name w:val="toc 10"/>
    <w:link w:val="toc10"/>
    <w:rsid w:val="00F113B4"/>
  </w:style>
  <w:style w:type="paragraph" w:styleId="a6">
    <w:name w:val="Title"/>
    <w:next w:val="a"/>
    <w:link w:val="a7"/>
    <w:uiPriority w:val="10"/>
    <w:qFormat/>
    <w:rsid w:val="00F113B4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F113B4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113B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113B4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F113B4"/>
  </w:style>
  <w:style w:type="character" w:customStyle="1" w:styleId="a9">
    <w:name w:val="Список Знак"/>
    <w:basedOn w:val="Textbody0"/>
    <w:link w:val="a8"/>
    <w:rsid w:val="00F113B4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1079</Words>
  <Characters>6151</Characters>
  <Application>Microsoft Office Word</Application>
  <DocSecurity>0</DocSecurity>
  <Lines>51</Lines>
  <Paragraphs>14</Paragraphs>
  <ScaleCrop>false</ScaleCrop>
  <Company/>
  <LinksUpToDate>false</LinksUpToDate>
  <CharactersWithSpaces>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2021-02-11T05:55:00Z</dcterms:created>
  <dcterms:modified xsi:type="dcterms:W3CDTF">2021-02-11T06:00:00Z</dcterms:modified>
</cp:coreProperties>
</file>