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580E" w:rsidRDefault="00F8335A">
      <w:pPr>
        <w:rPr>
          <w:rFonts w:ascii="sans-serif" w:hAnsi="sans-serif"/>
          <w:sz w:val="39"/>
        </w:rPr>
      </w:pPr>
      <w:proofErr w:type="spellStart"/>
      <w:r>
        <w:rPr>
          <w:rFonts w:ascii="sans-serif" w:hAnsi="sans-serif"/>
          <w:sz w:val="39"/>
        </w:rPr>
        <w:t>Коммерсантъ</w:t>
      </w:r>
      <w:proofErr w:type="spellEnd"/>
      <w:r>
        <w:rPr>
          <w:rFonts w:ascii="sans-serif" w:hAnsi="sans-serif"/>
          <w:sz w:val="39"/>
        </w:rPr>
        <w:t xml:space="preserve">, 17.03.2021, 00:53, Доходности устроили </w:t>
      </w:r>
    </w:p>
    <w:p w:rsidR="00D7580E" w:rsidRDefault="00F8335A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разнос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Пенсионные фонды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подзаработали на комиссионных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 очередной раз разнесли по счетам клиентов по итогам года более низкую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доходность, чем конкуренты — государственная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управляющая компания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(УК)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ВЭБ.РФ и частные УК. Заметное отставание определялось взимаемым фондами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вознаграждением. Впрочем, в условиях небольших счетов этот разрыв не критичен для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граждан, указывают эксперты.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Средневзвешенная разнесенная по счетам доходность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за прошлый год сос</w:t>
      </w:r>
      <w:r>
        <w:rPr>
          <w:rFonts w:ascii="sans-serif" w:hAnsi="sans-serif"/>
          <w:sz w:val="30"/>
        </w:rPr>
        <w:t>тавила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5,5% годовых, свидетельствуют расчеты "Ъ" на основании данных 13 крупнейших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фондов (на них приходится 97,4% обязательств по ОПС). Диапазон доходностей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составил 2,1–7,3%. «Молчунам», чьи средства находятся в расширенном портфеле под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управлением </w:t>
      </w:r>
      <w:proofErr w:type="spellStart"/>
      <w:r>
        <w:rPr>
          <w:rFonts w:ascii="sans-serif" w:hAnsi="sans-serif"/>
          <w:sz w:val="30"/>
        </w:rPr>
        <w:t>ВЭБа</w:t>
      </w:r>
      <w:proofErr w:type="spellEnd"/>
      <w:r>
        <w:rPr>
          <w:rFonts w:ascii="sans-serif" w:hAnsi="sans-serif"/>
          <w:sz w:val="30"/>
        </w:rPr>
        <w:t>,</w:t>
      </w:r>
      <w:r>
        <w:rPr>
          <w:rFonts w:ascii="sans-serif" w:hAnsi="sans-serif"/>
          <w:sz w:val="30"/>
        </w:rPr>
        <w:t xml:space="preserve"> 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Пенсионный фонд</w:t>
      </w:r>
      <w:r w:rsidRPr="00F8335A">
        <w:rPr>
          <w:rFonts w:ascii="sans-serif" w:hAnsi="sans-serif"/>
          <w:sz w:val="30"/>
        </w:rPr>
        <w:t xml:space="preserve">  </w:t>
      </w:r>
      <w:r>
        <w:rPr>
          <w:rFonts w:ascii="sans-serif" w:hAnsi="sans-serif"/>
          <w:sz w:val="30"/>
        </w:rPr>
        <w:t>России (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) разнес доходность в 6,8%, а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выбравшим портфель госбумаг (ГЦБ) </w:t>
      </w:r>
      <w:proofErr w:type="spellStart"/>
      <w:r>
        <w:rPr>
          <w:rFonts w:ascii="sans-serif" w:hAnsi="sans-serif"/>
          <w:sz w:val="30"/>
        </w:rPr>
        <w:t>ВЭБа</w:t>
      </w:r>
      <w:proofErr w:type="spellEnd"/>
      <w:r>
        <w:rPr>
          <w:rFonts w:ascii="sans-serif" w:hAnsi="sans-serif"/>
          <w:sz w:val="30"/>
        </w:rPr>
        <w:t xml:space="preserve"> — 7,8%. Лидерами по начисленной на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счета застрахованным лицам доходности стали частные УК. Их средневзвешенный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результат за прошлый год составил 8,1%. Правд</w:t>
      </w:r>
      <w:r>
        <w:rPr>
          <w:rFonts w:ascii="sans-serif" w:hAnsi="sans-serif"/>
          <w:sz w:val="30"/>
        </w:rPr>
        <w:t>а, среди УК была одна компания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(«</w:t>
      </w:r>
      <w:proofErr w:type="spellStart"/>
      <w:r>
        <w:rPr>
          <w:rFonts w:ascii="sans-serif" w:hAnsi="sans-serif"/>
          <w:sz w:val="30"/>
        </w:rPr>
        <w:t>Промсвязь</w:t>
      </w:r>
      <w:proofErr w:type="spellEnd"/>
      <w:r>
        <w:rPr>
          <w:rFonts w:ascii="sans-serif" w:hAnsi="sans-serif"/>
          <w:sz w:val="30"/>
        </w:rPr>
        <w:t>»), которая разнесла по счетам клиентов убытки в 1,5%. Но и лучший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результат по итогам прошлого года показала УК «Сбербанк Управление активами» </w:t>
      </w:r>
      <w:r w:rsidRPr="00F8335A"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10,2%.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прошлом году формировали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пенсионные накопления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37,2</w:t>
      </w:r>
      <w:r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человек. В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под управлением УК находились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пенсионные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</w:t>
      </w:r>
      <w:r>
        <w:rPr>
          <w:rFonts w:ascii="sans-serif" w:hAnsi="sans-serif"/>
          <w:sz w:val="30"/>
        </w:rPr>
        <w:t>акопления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38,8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граждан, из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которых частные компании управляли средствами 0,3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россиян. На конец 2020 года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объем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составлял около 3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</w:rPr>
        <w:t xml:space="preserve"> руб., в расширенном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портфеле РП — 1,9 </w:t>
      </w:r>
      <w:proofErr w:type="spellStart"/>
      <w:r>
        <w:rPr>
          <w:rFonts w:ascii="sans-serif" w:hAnsi="sans-serif"/>
          <w:sz w:val="30"/>
        </w:rPr>
        <w:t>трлн</w:t>
      </w:r>
      <w:proofErr w:type="spellEnd"/>
      <w:r>
        <w:rPr>
          <w:rFonts w:ascii="sans-serif" w:hAnsi="sans-serif"/>
          <w:sz w:val="30"/>
        </w:rPr>
        <w:t xml:space="preserve"> руб., в портфеле ГЦБ — 35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руб., у частных УК — 34</w:t>
      </w:r>
      <w:r w:rsidRPr="00F8335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руб.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Несмотря на то что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получили более высокий результат от инвестирования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>
        <w:rPr>
          <w:rFonts w:ascii="sans-serif" w:hAnsi="sans-serif"/>
          <w:sz w:val="30"/>
        </w:rPr>
        <w:t>, чем ВЭБ при управлении расширенным портфелем (см. "Ъ"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от 4 февраля), </w:t>
      </w:r>
      <w:r>
        <w:rPr>
          <w:rFonts w:ascii="sans-serif" w:hAnsi="sans-serif"/>
          <w:sz w:val="30"/>
        </w:rPr>
        <w:t>разнесенные на счета доходности у фондов оказались ниже. Схожая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ситуация была и годом ранее: частные фонды переиграли портфель «молчунов» по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инвестированию, но отдали клиентам меньше средств, чем ВЭБ (см. "Ъ" от 28 февраля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2020 года). Причина — вознагражде</w:t>
      </w:r>
      <w:r>
        <w:rPr>
          <w:rFonts w:ascii="sans-serif" w:hAnsi="sans-serif"/>
          <w:sz w:val="30"/>
        </w:rPr>
        <w:t xml:space="preserve">ние, которое берут себе 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. Оно состоит из двух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частей — постоянной (до 0,75% от 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) и переменной (до 15% от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полученного за год </w:t>
      </w:r>
      <w:proofErr w:type="spellStart"/>
      <w:r>
        <w:rPr>
          <w:rFonts w:ascii="sans-serif" w:hAnsi="sans-serif"/>
          <w:sz w:val="30"/>
        </w:rPr>
        <w:t>инвестдохода</w:t>
      </w:r>
      <w:proofErr w:type="spellEnd"/>
      <w:r>
        <w:rPr>
          <w:rFonts w:ascii="sans-serif" w:hAnsi="sans-serif"/>
          <w:sz w:val="30"/>
        </w:rPr>
        <w:t>). По оценке "Ъ", за прошлый год фонды взяли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вознаграждение почти полностью исходя из </w:t>
      </w:r>
      <w:r>
        <w:rPr>
          <w:rFonts w:ascii="sans-serif" w:hAnsi="sans-serif"/>
          <w:sz w:val="30"/>
        </w:rPr>
        <w:t>выделенного им лимита.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Из-за этого только один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из крупнейших — «Социум», разнесенная доходность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7,3% годовых — по результатам прошлого года смог начислить больше средств, чем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это было сделано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ПФР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по расширенному портфелю. Три самых крупных фонда </w:t>
      </w:r>
      <w:r w:rsidRPr="00F8335A">
        <w:rPr>
          <w:rFonts w:ascii="sans-serif" w:hAnsi="sans-serif"/>
          <w:sz w:val="30"/>
        </w:rPr>
        <w:t>-</w:t>
      </w:r>
      <w:r>
        <w:rPr>
          <w:rFonts w:ascii="sans-serif" w:hAnsi="sans-serif"/>
          <w:sz w:val="30"/>
        </w:rPr>
        <w:t>НП</w:t>
      </w:r>
      <w:r>
        <w:rPr>
          <w:rFonts w:ascii="sans-serif" w:hAnsi="sans-serif"/>
          <w:sz w:val="30"/>
        </w:rPr>
        <w:t>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Сбербанка, «</w:t>
      </w:r>
      <w:proofErr w:type="spellStart"/>
      <w:r>
        <w:rPr>
          <w:rFonts w:ascii="sans-serif" w:hAnsi="sans-serif"/>
          <w:sz w:val="30"/>
        </w:rPr>
        <w:t>Газфонд</w:t>
      </w:r>
      <w:proofErr w:type="spellEnd"/>
      <w:r>
        <w:rPr>
          <w:rFonts w:ascii="sans-serif" w:hAnsi="sans-serif"/>
          <w:sz w:val="30"/>
        </w:rPr>
        <w:t xml:space="preserve"> 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lastRenderedPageBreak/>
        <w:t>Пенсионные накопления</w:t>
      </w:r>
      <w:r>
        <w:rPr>
          <w:rFonts w:ascii="sans-serif" w:hAnsi="sans-serif"/>
          <w:sz w:val="30"/>
        </w:rPr>
        <w:t>» и «Открытие» — начислили на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счета застрахованных лиц 6,2%, 5,5% и 6% соответственно.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УК, которые управляют средствами граждан, находящимися в 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ПФР</w:t>
      </w:r>
      <w:r>
        <w:rPr>
          <w:rFonts w:ascii="sans-serif" w:hAnsi="sans-serif"/>
          <w:sz w:val="30"/>
        </w:rPr>
        <w:t>, согласно типовым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договорам, не имеют права взимать в виде во</w:t>
      </w:r>
      <w:r>
        <w:rPr>
          <w:rFonts w:ascii="sans-serif" w:hAnsi="sans-serif"/>
          <w:sz w:val="30"/>
        </w:rPr>
        <w:t>знаграждения больше 10% от</w:t>
      </w:r>
    </w:p>
    <w:p w:rsidR="00D7580E" w:rsidRDefault="00F8335A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инвестрезультата</w:t>
      </w:r>
      <w:proofErr w:type="spellEnd"/>
      <w:r>
        <w:rPr>
          <w:rFonts w:ascii="sans-serif" w:hAnsi="sans-serif"/>
          <w:sz w:val="30"/>
        </w:rPr>
        <w:t xml:space="preserve">. Также они могут брать до 1,1% от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расходы, связанные с инвестированием средств 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(например,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20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плата </w:t>
      </w:r>
      <w:proofErr w:type="spellStart"/>
      <w:r>
        <w:rPr>
          <w:rFonts w:ascii="sans-serif" w:hAnsi="sans-serif"/>
          <w:sz w:val="30"/>
        </w:rPr>
        <w:t>спецдепозитарию</w:t>
      </w:r>
      <w:proofErr w:type="spellEnd"/>
      <w:r>
        <w:rPr>
          <w:rFonts w:ascii="sans-serif" w:hAnsi="sans-serif"/>
          <w:sz w:val="30"/>
        </w:rPr>
        <w:t xml:space="preserve">), но эти суммы не могут превышать действительно </w:t>
      </w:r>
      <w:r>
        <w:rPr>
          <w:rFonts w:ascii="sans-serif" w:hAnsi="sans-serif"/>
          <w:sz w:val="30"/>
        </w:rPr>
        <w:t>понесенные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ими расходы. Для </w:t>
      </w:r>
      <w:proofErr w:type="spellStart"/>
      <w:r>
        <w:rPr>
          <w:rFonts w:ascii="sans-serif" w:hAnsi="sans-serif"/>
          <w:sz w:val="30"/>
        </w:rPr>
        <w:t>госуправляющего</w:t>
      </w:r>
      <w:proofErr w:type="spellEnd"/>
      <w:r>
        <w:rPr>
          <w:rFonts w:ascii="sans-serif" w:hAnsi="sans-serif"/>
          <w:sz w:val="30"/>
        </w:rPr>
        <w:t xml:space="preserve"> установлены дополнительные ограничения по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вознаграждению: 0,2% от </w:t>
      </w: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до 100 </w:t>
      </w:r>
      <w:proofErr w:type="spellStart"/>
      <w:r>
        <w:rPr>
          <w:rFonts w:ascii="sans-serif" w:hAnsi="sans-serif"/>
          <w:sz w:val="30"/>
        </w:rPr>
        <w:t>млрд</w:t>
      </w:r>
      <w:proofErr w:type="spellEnd"/>
      <w:r>
        <w:rPr>
          <w:rFonts w:ascii="sans-serif" w:hAnsi="sans-serif"/>
          <w:sz w:val="30"/>
        </w:rPr>
        <w:t xml:space="preserve"> руб., а с суммы,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превышающей эту планку,— 200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руб. и 0,02% от 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суммы превышения.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«Учитывая небольшие суммы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счетах граждан, разрыв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начисленных доходностей носит больше </w:t>
      </w:r>
      <w:proofErr w:type="spellStart"/>
      <w:r>
        <w:rPr>
          <w:rFonts w:ascii="sans-serif" w:hAnsi="sans-serif"/>
          <w:sz w:val="30"/>
        </w:rPr>
        <w:t>имиджевый</w:t>
      </w:r>
      <w:proofErr w:type="spellEnd"/>
      <w:r>
        <w:rPr>
          <w:rFonts w:ascii="sans-serif" w:hAnsi="sans-serif"/>
          <w:sz w:val="30"/>
        </w:rPr>
        <w:t xml:space="preserve"> характер, реальная разница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составляет несколько сот рублей в год»,— говорит управляющий директор «Эксперт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РА» Павел Митрофанов. Поэтом</w:t>
      </w:r>
      <w:r>
        <w:rPr>
          <w:rFonts w:ascii="sans-serif" w:hAnsi="sans-serif"/>
          <w:sz w:val="30"/>
        </w:rPr>
        <w:t xml:space="preserve">у, по его словам, проблема того, что </w:t>
      </w:r>
      <w:r>
        <w:rPr>
          <w:rFonts w:ascii="sans-serif" w:hAnsi="sans-serif"/>
          <w:sz w:val="30"/>
        </w:rPr>
        <w:t>НПФ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даже в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благоприятные периоды не могут опередить консервативный портфель</w:t>
      </w:r>
      <w:r w:rsidRPr="00F8335A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госуправляющего</w:t>
      </w:r>
      <w:proofErr w:type="spellEnd"/>
      <w:r>
        <w:rPr>
          <w:rFonts w:ascii="sans-serif" w:hAnsi="sans-serif"/>
          <w:sz w:val="30"/>
        </w:rPr>
        <w:t>, не носит критический характер. «Но если власти действительно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хотят перезапускать систему массовых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пенсионных накоплений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им</w:t>
      </w:r>
      <w:r>
        <w:rPr>
          <w:rFonts w:ascii="sans-serif" w:hAnsi="sans-serif"/>
          <w:sz w:val="30"/>
        </w:rPr>
        <w:t>еть в них</w:t>
      </w:r>
    </w:p>
    <w:p w:rsidR="00D7580E" w:rsidRDefault="00F8335A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действительно большие счета, то напрашиваются вопросы к системе вознаграждений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для </w:t>
      </w:r>
      <w:r w:rsidRPr="00F8335A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НПФ</w:t>
      </w:r>
      <w:r>
        <w:rPr>
          <w:rFonts w:ascii="sans-serif" w:hAnsi="sans-serif"/>
          <w:sz w:val="30"/>
        </w:rPr>
        <w:t>, которая сейчас способна обеспечивать высокие доходы акционерам фондов,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но невысокие доходности их клиентам»,— заключает он.</w:t>
      </w:r>
    </w:p>
    <w:p w:rsidR="00D7580E" w:rsidRDefault="00D7580E"/>
    <w:sectPr w:rsidR="00D7580E" w:rsidSect="00D7580E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9"/>
  <w:characterSpacingControl w:val="doNotCompress"/>
  <w:compat/>
  <w:rsids>
    <w:rsidRoot w:val="00D7580E"/>
    <w:rsid w:val="00D7580E"/>
    <w:rsid w:val="00F833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7580E"/>
  </w:style>
  <w:style w:type="paragraph" w:styleId="10">
    <w:name w:val="heading 1"/>
    <w:next w:val="a"/>
    <w:link w:val="11"/>
    <w:uiPriority w:val="9"/>
    <w:qFormat/>
    <w:rsid w:val="00D7580E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7580E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7580E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7580E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7580E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7580E"/>
  </w:style>
  <w:style w:type="paragraph" w:styleId="21">
    <w:name w:val="toc 2"/>
    <w:next w:val="a"/>
    <w:link w:val="22"/>
    <w:uiPriority w:val="39"/>
    <w:rsid w:val="00D7580E"/>
    <w:pPr>
      <w:ind w:left="200"/>
    </w:pPr>
  </w:style>
  <w:style w:type="character" w:customStyle="1" w:styleId="22">
    <w:name w:val="Оглавление 2 Знак"/>
    <w:link w:val="21"/>
    <w:rsid w:val="00D7580E"/>
  </w:style>
  <w:style w:type="paragraph" w:styleId="41">
    <w:name w:val="toc 4"/>
    <w:next w:val="a"/>
    <w:link w:val="42"/>
    <w:uiPriority w:val="39"/>
    <w:rsid w:val="00D7580E"/>
    <w:pPr>
      <w:ind w:left="600"/>
    </w:pPr>
  </w:style>
  <w:style w:type="character" w:customStyle="1" w:styleId="42">
    <w:name w:val="Оглавление 4 Знак"/>
    <w:link w:val="41"/>
    <w:rsid w:val="00D7580E"/>
  </w:style>
  <w:style w:type="paragraph" w:styleId="6">
    <w:name w:val="toc 6"/>
    <w:next w:val="a"/>
    <w:link w:val="60"/>
    <w:uiPriority w:val="39"/>
    <w:rsid w:val="00D7580E"/>
    <w:pPr>
      <w:ind w:left="1000"/>
    </w:pPr>
  </w:style>
  <w:style w:type="character" w:customStyle="1" w:styleId="60">
    <w:name w:val="Оглавление 6 Знак"/>
    <w:link w:val="6"/>
    <w:rsid w:val="00D7580E"/>
  </w:style>
  <w:style w:type="paragraph" w:styleId="7">
    <w:name w:val="toc 7"/>
    <w:next w:val="a"/>
    <w:link w:val="70"/>
    <w:uiPriority w:val="39"/>
    <w:rsid w:val="00D7580E"/>
    <w:pPr>
      <w:ind w:left="1200"/>
    </w:pPr>
  </w:style>
  <w:style w:type="character" w:customStyle="1" w:styleId="70">
    <w:name w:val="Оглавление 7 Знак"/>
    <w:link w:val="7"/>
    <w:rsid w:val="00D7580E"/>
  </w:style>
  <w:style w:type="paragraph" w:customStyle="1" w:styleId="Caption">
    <w:name w:val="Caption"/>
    <w:basedOn w:val="a"/>
    <w:link w:val="Caption1"/>
    <w:rsid w:val="00D7580E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D7580E"/>
    <w:rPr>
      <w:i/>
      <w:sz w:val="24"/>
    </w:rPr>
  </w:style>
  <w:style w:type="character" w:customStyle="1" w:styleId="30">
    <w:name w:val="Заголовок 3 Знак"/>
    <w:link w:val="3"/>
    <w:rsid w:val="00D7580E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1"/>
    <w:rsid w:val="00D7580E"/>
  </w:style>
  <w:style w:type="character" w:customStyle="1" w:styleId="Index1">
    <w:name w:val="Index1"/>
    <w:basedOn w:val="1"/>
    <w:link w:val="Index"/>
    <w:rsid w:val="00D7580E"/>
  </w:style>
  <w:style w:type="paragraph" w:styleId="a3">
    <w:name w:val="List"/>
    <w:basedOn w:val="Textbody"/>
    <w:link w:val="a4"/>
    <w:rsid w:val="00D7580E"/>
  </w:style>
  <w:style w:type="character" w:customStyle="1" w:styleId="a4">
    <w:name w:val="Список Знак"/>
    <w:basedOn w:val="Textbody1"/>
    <w:link w:val="a3"/>
    <w:rsid w:val="00D7580E"/>
  </w:style>
  <w:style w:type="paragraph" w:customStyle="1" w:styleId="Textbody">
    <w:name w:val="Text body"/>
    <w:basedOn w:val="a"/>
    <w:link w:val="Textbody1"/>
    <w:rsid w:val="00D7580E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D7580E"/>
  </w:style>
  <w:style w:type="paragraph" w:styleId="31">
    <w:name w:val="toc 3"/>
    <w:next w:val="a"/>
    <w:link w:val="32"/>
    <w:uiPriority w:val="39"/>
    <w:rsid w:val="00D7580E"/>
    <w:pPr>
      <w:ind w:left="400"/>
    </w:pPr>
  </w:style>
  <w:style w:type="character" w:customStyle="1" w:styleId="32">
    <w:name w:val="Оглавление 3 Знак"/>
    <w:link w:val="31"/>
    <w:rsid w:val="00D7580E"/>
  </w:style>
  <w:style w:type="character" w:customStyle="1" w:styleId="50">
    <w:name w:val="Заголовок 5 Знак"/>
    <w:link w:val="5"/>
    <w:rsid w:val="00D7580E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D7580E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7580E"/>
    <w:rPr>
      <w:color w:val="0000FF"/>
      <w:u w:val="single"/>
    </w:rPr>
  </w:style>
  <w:style w:type="character" w:styleId="a5">
    <w:name w:val="Hyperlink"/>
    <w:link w:val="12"/>
    <w:rsid w:val="00D7580E"/>
    <w:rPr>
      <w:color w:val="0000FF"/>
      <w:u w:val="single"/>
    </w:rPr>
  </w:style>
  <w:style w:type="paragraph" w:customStyle="1" w:styleId="Footnote">
    <w:name w:val="Footnote"/>
    <w:link w:val="Footnote1"/>
    <w:rsid w:val="00D7580E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D7580E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7580E"/>
    <w:rPr>
      <w:rFonts w:ascii="XO Thames" w:hAnsi="XO Thames"/>
      <w:b/>
    </w:rPr>
  </w:style>
  <w:style w:type="character" w:customStyle="1" w:styleId="14">
    <w:name w:val="Оглавление 1 Знак"/>
    <w:link w:val="13"/>
    <w:rsid w:val="00D7580E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D7580E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D7580E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D7580E"/>
    <w:pPr>
      <w:ind w:left="1600"/>
    </w:pPr>
  </w:style>
  <w:style w:type="character" w:customStyle="1" w:styleId="90">
    <w:name w:val="Оглавление 9 Знак"/>
    <w:link w:val="9"/>
    <w:rsid w:val="00D7580E"/>
  </w:style>
  <w:style w:type="paragraph" w:styleId="8">
    <w:name w:val="toc 8"/>
    <w:next w:val="a"/>
    <w:link w:val="80"/>
    <w:uiPriority w:val="39"/>
    <w:rsid w:val="00D7580E"/>
    <w:pPr>
      <w:ind w:left="1400"/>
    </w:pPr>
  </w:style>
  <w:style w:type="character" w:customStyle="1" w:styleId="80">
    <w:name w:val="Оглавление 8 Знак"/>
    <w:link w:val="8"/>
    <w:rsid w:val="00D7580E"/>
  </w:style>
  <w:style w:type="paragraph" w:styleId="51">
    <w:name w:val="toc 5"/>
    <w:next w:val="a"/>
    <w:link w:val="52"/>
    <w:uiPriority w:val="39"/>
    <w:rsid w:val="00D7580E"/>
    <w:pPr>
      <w:ind w:left="800"/>
    </w:pPr>
  </w:style>
  <w:style w:type="character" w:customStyle="1" w:styleId="52">
    <w:name w:val="Оглавление 5 Знак"/>
    <w:link w:val="51"/>
    <w:rsid w:val="00D7580E"/>
  </w:style>
  <w:style w:type="paragraph" w:styleId="a6">
    <w:name w:val="Subtitle"/>
    <w:next w:val="a"/>
    <w:link w:val="a7"/>
    <w:uiPriority w:val="11"/>
    <w:qFormat/>
    <w:rsid w:val="00D7580E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7580E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D7580E"/>
    <w:pPr>
      <w:ind w:left="1800"/>
    </w:pPr>
  </w:style>
  <w:style w:type="character" w:customStyle="1" w:styleId="toc101">
    <w:name w:val="toc 101"/>
    <w:link w:val="toc10"/>
    <w:rsid w:val="00D7580E"/>
  </w:style>
  <w:style w:type="paragraph" w:styleId="a8">
    <w:name w:val="Title"/>
    <w:next w:val="a"/>
    <w:link w:val="a9"/>
    <w:uiPriority w:val="10"/>
    <w:qFormat/>
    <w:rsid w:val="00D7580E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7580E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7580E"/>
    <w:rPr>
      <w:rFonts w:ascii="XO Thames" w:hAnsi="XO Thames"/>
      <w:b/>
      <w:color w:val="595959"/>
      <w:sz w:val="26"/>
    </w:rPr>
  </w:style>
  <w:style w:type="paragraph" w:customStyle="1" w:styleId="Heading">
    <w:name w:val="Heading"/>
    <w:basedOn w:val="a"/>
    <w:next w:val="Textbody"/>
    <w:link w:val="Heading1"/>
    <w:rsid w:val="00D7580E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D7580E"/>
    <w:rPr>
      <w:rFonts w:ascii="Liberation Sans" w:hAnsi="Liberation Sans"/>
      <w:sz w:val="28"/>
    </w:rPr>
  </w:style>
  <w:style w:type="character" w:customStyle="1" w:styleId="20">
    <w:name w:val="Заголовок 2 Знак"/>
    <w:link w:val="2"/>
    <w:rsid w:val="00D7580E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603</Words>
  <Characters>3442</Characters>
  <Application>Microsoft Office Word</Application>
  <DocSecurity>0</DocSecurity>
  <Lines>28</Lines>
  <Paragraphs>8</Paragraphs>
  <ScaleCrop>false</ScaleCrop>
  <Company/>
  <LinksUpToDate>false</LinksUpToDate>
  <CharactersWithSpaces>4037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2021-03-19T06:00:00Z</dcterms:created>
  <dcterms:modified xsi:type="dcterms:W3CDTF">2021-03-19T06:03:00Z</dcterms:modified>
</cp:coreProperties>
</file>