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A34" w:rsidRDefault="009A758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</w:t>
      </w:r>
      <w:r>
        <w:rPr>
          <w:rFonts w:ascii="sans-serif" w:hAnsi="sans-serif"/>
          <w:sz w:val="39"/>
        </w:rPr>
        <w:t>о</w:t>
      </w:r>
      <w:r>
        <w:rPr>
          <w:rFonts w:ascii="sans-serif" w:hAnsi="sans-serif"/>
          <w:sz w:val="39"/>
        </w:rPr>
        <w:t xml:space="preserve">ссийская газета, 06.09.2021, 17:32, Определиться с </w:t>
      </w:r>
    </w:p>
    <w:p w:rsidR="00C40A34" w:rsidRDefault="009A758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формой получения социальных услуг нужно до 1 октября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30 сентября - последний день, когда федеральные льготники смогут подать заявление о </w:t>
      </w:r>
      <w:r>
        <w:rPr>
          <w:rFonts w:ascii="sans-serif" w:hAnsi="sans-serif"/>
          <w:sz w:val="30"/>
        </w:rPr>
        <w:t>выборе формы получения набора социальных услуг (НСУ) на 2022 год.</w:t>
      </w:r>
      <w:r>
        <w:rPr>
          <w:rFonts w:ascii="sans-serif" w:hAnsi="sans-serif"/>
          <w:sz w:val="30"/>
        </w:rPr>
        <w:t xml:space="preserve"> Об этом </w:t>
      </w:r>
      <w:r>
        <w:rPr>
          <w:rFonts w:ascii="sans-serif" w:hAnsi="sans-serif"/>
          <w:sz w:val="30"/>
        </w:rPr>
        <w:t xml:space="preserve">напоминает отделение  </w:t>
      </w:r>
      <w:r>
        <w:rPr>
          <w:rFonts w:ascii="sans-serif" w:hAnsi="sans-serif"/>
          <w:sz w:val="30"/>
        </w:rPr>
        <w:t>Пенсионного фонда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 по Липецкой области.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Напомним, что набор социальных услуг получают участники и инвалиды Великой </w:t>
      </w:r>
      <w:r>
        <w:rPr>
          <w:rFonts w:ascii="sans-serif" w:hAnsi="sans-serif"/>
          <w:sz w:val="30"/>
        </w:rPr>
        <w:t xml:space="preserve">Отечественной войны, ветераны боевых действий, блокадники, чернобыльцы, </w:t>
      </w:r>
      <w:r>
        <w:rPr>
          <w:rFonts w:ascii="sans-serif" w:hAnsi="sans-serif"/>
          <w:sz w:val="30"/>
        </w:rPr>
        <w:t>инвалиды и дети-инвалиды и ряд д</w:t>
      </w:r>
      <w:r>
        <w:rPr>
          <w:rFonts w:ascii="sans-serif" w:hAnsi="sans-serif"/>
          <w:sz w:val="30"/>
        </w:rPr>
        <w:t xml:space="preserve">ругих категорий. Все они являются федеральными </w:t>
      </w:r>
      <w:r>
        <w:rPr>
          <w:rFonts w:ascii="sans-serif" w:hAnsi="sans-serif"/>
          <w:sz w:val="30"/>
        </w:rPr>
        <w:t xml:space="preserve">льготниками. И каждый год до конца сентября им необходимо определиться: хотят ли </w:t>
      </w:r>
      <w:r>
        <w:rPr>
          <w:rFonts w:ascii="sans-serif" w:hAnsi="sans-serif"/>
          <w:sz w:val="30"/>
        </w:rPr>
        <w:t xml:space="preserve">они получать </w:t>
      </w:r>
      <w:proofErr w:type="spellStart"/>
      <w:r>
        <w:rPr>
          <w:rFonts w:ascii="sans-serif" w:hAnsi="sans-serif"/>
          <w:sz w:val="30"/>
        </w:rPr>
        <w:t>соцпакет</w:t>
      </w:r>
      <w:proofErr w:type="spellEnd"/>
      <w:r>
        <w:rPr>
          <w:rFonts w:ascii="sans-serif" w:hAnsi="sans-serif"/>
          <w:sz w:val="30"/>
        </w:rPr>
        <w:t xml:space="preserve"> в натуральной форме или в денежной. Подать соответствующее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заявление можно через личный кабинет на сайте 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в клиентской службе </w:t>
      </w:r>
      <w:r>
        <w:rPr>
          <w:rFonts w:ascii="sans-serif" w:hAnsi="sans-serif"/>
          <w:sz w:val="30"/>
        </w:rPr>
        <w:t xml:space="preserve">ПФР </w:t>
      </w:r>
      <w:r>
        <w:rPr>
          <w:rFonts w:ascii="sans-serif" w:hAnsi="sans-serif"/>
          <w:sz w:val="30"/>
        </w:rPr>
        <w:t xml:space="preserve">или </w:t>
      </w:r>
      <w:r>
        <w:rPr>
          <w:rFonts w:ascii="sans-serif" w:hAnsi="sans-serif"/>
          <w:sz w:val="30"/>
        </w:rPr>
        <w:t>в многофункциональном центре.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Натуральная форма предполагает предоставление набора непосредственно в виде </w:t>
      </w:r>
      <w:r>
        <w:rPr>
          <w:rFonts w:ascii="sans-serif" w:hAnsi="sans-serif"/>
          <w:sz w:val="30"/>
        </w:rPr>
        <w:t xml:space="preserve">социальных услуг, денежный эквивалент выплачивается полностью или частично. С </w:t>
      </w:r>
      <w:r>
        <w:rPr>
          <w:rFonts w:ascii="sans-serif" w:hAnsi="sans-serif"/>
          <w:sz w:val="30"/>
        </w:rPr>
        <w:t xml:space="preserve">февраля 2021 года он проиндексирован </w:t>
      </w:r>
      <w:r>
        <w:rPr>
          <w:rFonts w:ascii="sans-serif" w:hAnsi="sans-serif"/>
          <w:sz w:val="30"/>
        </w:rPr>
        <w:t xml:space="preserve">и составляет чуть более 1200 рублей в месяц. 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том числе на лекарства, медицинские изделия и продукты лечебного питания </w:t>
      </w:r>
      <w:r>
        <w:rPr>
          <w:rFonts w:ascii="sans-serif" w:hAnsi="sans-serif"/>
          <w:sz w:val="30"/>
        </w:rPr>
        <w:t xml:space="preserve">заложено 933,25 рубля в месяц. На оплату путевки на санаторно-курортное лечение </w:t>
      </w:r>
      <w:r>
        <w:rPr>
          <w:rFonts w:ascii="sans-serif" w:hAnsi="sans-serif"/>
          <w:sz w:val="30"/>
        </w:rPr>
        <w:t>144,37 рубля в месяц. На бесплатный проезд на пригородно</w:t>
      </w:r>
      <w:r>
        <w:rPr>
          <w:rFonts w:ascii="sans-serif" w:hAnsi="sans-serif"/>
          <w:sz w:val="30"/>
        </w:rPr>
        <w:t xml:space="preserve">м железнодорожном </w:t>
      </w:r>
      <w:r>
        <w:rPr>
          <w:rFonts w:ascii="sans-serif" w:hAnsi="sans-serif"/>
          <w:sz w:val="30"/>
        </w:rPr>
        <w:t xml:space="preserve">транспорте, а также на междугородном транспорте к месту лечения и обратно - 134,04 </w:t>
      </w:r>
      <w:r>
        <w:rPr>
          <w:rFonts w:ascii="sans-serif" w:hAnsi="sans-serif"/>
          <w:sz w:val="30"/>
        </w:rPr>
        <w:t>рубля в месяц.</w:t>
      </w:r>
    </w:p>
    <w:p w:rsidR="00C40A34" w:rsidRDefault="009A75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человек не определился, как ему получать набор </w:t>
      </w:r>
      <w:proofErr w:type="spellStart"/>
      <w:r>
        <w:rPr>
          <w:rFonts w:ascii="sans-serif" w:hAnsi="sans-serif"/>
          <w:sz w:val="30"/>
        </w:rPr>
        <w:t>соцуслуг</w:t>
      </w:r>
      <w:proofErr w:type="spellEnd"/>
      <w:r>
        <w:rPr>
          <w:rFonts w:ascii="sans-serif" w:hAnsi="sans-serif"/>
          <w:sz w:val="30"/>
        </w:rPr>
        <w:t xml:space="preserve"> и не написал заявления, </w:t>
      </w:r>
      <w:r>
        <w:rPr>
          <w:rFonts w:ascii="sans-serif" w:hAnsi="sans-serif"/>
          <w:sz w:val="30"/>
        </w:rPr>
        <w:t>то ему он предоставляется в натуральной форме. Исключен</w:t>
      </w:r>
      <w:r>
        <w:rPr>
          <w:rFonts w:ascii="sans-serif" w:hAnsi="sans-serif"/>
          <w:sz w:val="30"/>
        </w:rPr>
        <w:t xml:space="preserve">ие составляют граждане, </w:t>
      </w:r>
      <w:r>
        <w:rPr>
          <w:rFonts w:ascii="sans-serif" w:hAnsi="sans-serif"/>
          <w:sz w:val="30"/>
        </w:rPr>
        <w:t xml:space="preserve">подвергшиеся воздействию радиации, которым набор изначально предоставляется </w:t>
      </w:r>
      <w:r>
        <w:rPr>
          <w:rFonts w:ascii="sans-serif" w:hAnsi="sans-serif"/>
          <w:sz w:val="30"/>
        </w:rPr>
        <w:t xml:space="preserve">деньгами. Если человек уже ранее отказался от натуральной формы </w:t>
      </w:r>
      <w:proofErr w:type="spellStart"/>
      <w:r>
        <w:rPr>
          <w:rFonts w:ascii="sans-serif" w:hAnsi="sans-serif"/>
          <w:sz w:val="30"/>
        </w:rPr>
        <w:t>соцуслуг</w:t>
      </w:r>
      <w:proofErr w:type="spellEnd"/>
      <w:r>
        <w:rPr>
          <w:rFonts w:ascii="sans-serif" w:hAnsi="sans-serif"/>
          <w:sz w:val="30"/>
        </w:rPr>
        <w:t xml:space="preserve">, то </w:t>
      </w:r>
      <w:r>
        <w:rPr>
          <w:rFonts w:ascii="sans-serif" w:hAnsi="sans-serif"/>
          <w:sz w:val="30"/>
        </w:rPr>
        <w:t xml:space="preserve">деньгами он будет предоставляться до тех пор, пока гражданин не изменит своего </w:t>
      </w:r>
      <w:r>
        <w:rPr>
          <w:rFonts w:ascii="sans-serif" w:hAnsi="sans-serif"/>
          <w:sz w:val="30"/>
        </w:rPr>
        <w:t xml:space="preserve">решения. </w:t>
      </w:r>
    </w:p>
    <w:p w:rsidR="00C40A34" w:rsidRDefault="00C40A34"/>
    <w:sectPr w:rsidR="00C40A34" w:rsidSect="00C40A3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C40A34"/>
    <w:rsid w:val="009A7584"/>
    <w:rsid w:val="00C40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0A34"/>
  </w:style>
  <w:style w:type="paragraph" w:styleId="10">
    <w:name w:val="heading 1"/>
    <w:next w:val="a"/>
    <w:link w:val="11"/>
    <w:uiPriority w:val="9"/>
    <w:qFormat/>
    <w:rsid w:val="00C40A3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40A3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40A3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40A3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40A3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0A34"/>
  </w:style>
  <w:style w:type="paragraph" w:styleId="21">
    <w:name w:val="toc 2"/>
    <w:next w:val="a"/>
    <w:link w:val="22"/>
    <w:uiPriority w:val="39"/>
    <w:rsid w:val="00C40A34"/>
    <w:pPr>
      <w:ind w:left="200"/>
    </w:pPr>
  </w:style>
  <w:style w:type="character" w:customStyle="1" w:styleId="22">
    <w:name w:val="Оглавление 2 Знак"/>
    <w:link w:val="21"/>
    <w:rsid w:val="00C40A34"/>
  </w:style>
  <w:style w:type="paragraph" w:styleId="41">
    <w:name w:val="toc 4"/>
    <w:next w:val="a"/>
    <w:link w:val="42"/>
    <w:uiPriority w:val="39"/>
    <w:rsid w:val="00C40A34"/>
    <w:pPr>
      <w:ind w:left="600"/>
    </w:pPr>
  </w:style>
  <w:style w:type="character" w:customStyle="1" w:styleId="42">
    <w:name w:val="Оглавление 4 Знак"/>
    <w:link w:val="41"/>
    <w:rsid w:val="00C40A34"/>
  </w:style>
  <w:style w:type="paragraph" w:styleId="6">
    <w:name w:val="toc 6"/>
    <w:next w:val="a"/>
    <w:link w:val="60"/>
    <w:uiPriority w:val="39"/>
    <w:rsid w:val="00C40A34"/>
    <w:pPr>
      <w:ind w:left="1000"/>
    </w:pPr>
  </w:style>
  <w:style w:type="character" w:customStyle="1" w:styleId="60">
    <w:name w:val="Оглавление 6 Знак"/>
    <w:link w:val="6"/>
    <w:rsid w:val="00C40A34"/>
  </w:style>
  <w:style w:type="paragraph" w:styleId="7">
    <w:name w:val="toc 7"/>
    <w:next w:val="a"/>
    <w:link w:val="70"/>
    <w:uiPriority w:val="39"/>
    <w:rsid w:val="00C40A34"/>
    <w:pPr>
      <w:ind w:left="1200"/>
    </w:pPr>
  </w:style>
  <w:style w:type="character" w:customStyle="1" w:styleId="70">
    <w:name w:val="Оглавление 7 Знак"/>
    <w:link w:val="7"/>
    <w:rsid w:val="00C40A34"/>
  </w:style>
  <w:style w:type="character" w:customStyle="1" w:styleId="30">
    <w:name w:val="Заголовок 3 Знак"/>
    <w:link w:val="3"/>
    <w:rsid w:val="00C40A34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C40A34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C40A34"/>
  </w:style>
  <w:style w:type="paragraph" w:styleId="a3">
    <w:name w:val="List"/>
    <w:basedOn w:val="Textbody"/>
    <w:link w:val="a4"/>
    <w:rsid w:val="00C40A34"/>
  </w:style>
  <w:style w:type="character" w:customStyle="1" w:styleId="a4">
    <w:name w:val="Список Знак"/>
    <w:basedOn w:val="Textbody1"/>
    <w:link w:val="a3"/>
    <w:rsid w:val="00C40A34"/>
  </w:style>
  <w:style w:type="paragraph" w:customStyle="1" w:styleId="Index">
    <w:name w:val="Index"/>
    <w:basedOn w:val="a"/>
    <w:link w:val="Index1"/>
    <w:rsid w:val="00C40A34"/>
  </w:style>
  <w:style w:type="character" w:customStyle="1" w:styleId="Index1">
    <w:name w:val="Index1"/>
    <w:basedOn w:val="1"/>
    <w:link w:val="Index"/>
    <w:rsid w:val="00C40A34"/>
  </w:style>
  <w:style w:type="paragraph" w:styleId="31">
    <w:name w:val="toc 3"/>
    <w:next w:val="a"/>
    <w:link w:val="32"/>
    <w:uiPriority w:val="39"/>
    <w:rsid w:val="00C40A34"/>
    <w:pPr>
      <w:ind w:left="400"/>
    </w:pPr>
  </w:style>
  <w:style w:type="character" w:customStyle="1" w:styleId="32">
    <w:name w:val="Оглавление 3 Знак"/>
    <w:link w:val="31"/>
    <w:rsid w:val="00C40A34"/>
  </w:style>
  <w:style w:type="paragraph" w:customStyle="1" w:styleId="Heading">
    <w:name w:val="Heading"/>
    <w:basedOn w:val="a"/>
    <w:next w:val="Textbody"/>
    <w:link w:val="Heading1"/>
    <w:rsid w:val="00C40A3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C40A34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C40A3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40A3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40A34"/>
    <w:rPr>
      <w:color w:val="0000FF"/>
      <w:u w:val="single"/>
    </w:rPr>
  </w:style>
  <w:style w:type="character" w:styleId="a5">
    <w:name w:val="Hyperlink"/>
    <w:link w:val="12"/>
    <w:rsid w:val="00C40A34"/>
    <w:rPr>
      <w:color w:val="0000FF"/>
      <w:u w:val="single"/>
    </w:rPr>
  </w:style>
  <w:style w:type="paragraph" w:customStyle="1" w:styleId="Footnote">
    <w:name w:val="Footnote"/>
    <w:link w:val="Footnote1"/>
    <w:rsid w:val="00C40A34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C40A3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40A34"/>
    <w:rPr>
      <w:rFonts w:ascii="XO Thames" w:hAnsi="XO Thames"/>
      <w:b/>
    </w:rPr>
  </w:style>
  <w:style w:type="character" w:customStyle="1" w:styleId="14">
    <w:name w:val="Оглавление 1 Знак"/>
    <w:link w:val="13"/>
    <w:rsid w:val="00C40A34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C40A34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C40A3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40A34"/>
    <w:pPr>
      <w:ind w:left="1600"/>
    </w:pPr>
  </w:style>
  <w:style w:type="character" w:customStyle="1" w:styleId="90">
    <w:name w:val="Оглавление 9 Знак"/>
    <w:link w:val="9"/>
    <w:rsid w:val="00C40A34"/>
  </w:style>
  <w:style w:type="paragraph" w:styleId="8">
    <w:name w:val="toc 8"/>
    <w:next w:val="a"/>
    <w:link w:val="80"/>
    <w:uiPriority w:val="39"/>
    <w:rsid w:val="00C40A34"/>
    <w:pPr>
      <w:ind w:left="1400"/>
    </w:pPr>
  </w:style>
  <w:style w:type="character" w:customStyle="1" w:styleId="80">
    <w:name w:val="Оглавление 8 Знак"/>
    <w:link w:val="8"/>
    <w:rsid w:val="00C40A34"/>
  </w:style>
  <w:style w:type="paragraph" w:styleId="51">
    <w:name w:val="toc 5"/>
    <w:next w:val="a"/>
    <w:link w:val="52"/>
    <w:uiPriority w:val="39"/>
    <w:rsid w:val="00C40A34"/>
    <w:pPr>
      <w:ind w:left="800"/>
    </w:pPr>
  </w:style>
  <w:style w:type="character" w:customStyle="1" w:styleId="52">
    <w:name w:val="Оглавление 5 Знак"/>
    <w:link w:val="51"/>
    <w:rsid w:val="00C40A34"/>
  </w:style>
  <w:style w:type="paragraph" w:customStyle="1" w:styleId="Caption">
    <w:name w:val="Caption"/>
    <w:basedOn w:val="a"/>
    <w:link w:val="Caption1"/>
    <w:rsid w:val="00C40A34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C40A34"/>
    <w:rPr>
      <w:i/>
      <w:sz w:val="24"/>
    </w:rPr>
  </w:style>
  <w:style w:type="paragraph" w:styleId="a6">
    <w:name w:val="Subtitle"/>
    <w:next w:val="a"/>
    <w:link w:val="a7"/>
    <w:uiPriority w:val="11"/>
    <w:qFormat/>
    <w:rsid w:val="00C40A3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40A3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C40A34"/>
    <w:pPr>
      <w:ind w:left="1800"/>
    </w:pPr>
  </w:style>
  <w:style w:type="character" w:customStyle="1" w:styleId="toc101">
    <w:name w:val="toc 101"/>
    <w:link w:val="toc10"/>
    <w:rsid w:val="00C40A34"/>
  </w:style>
  <w:style w:type="paragraph" w:styleId="a8">
    <w:name w:val="Title"/>
    <w:next w:val="a"/>
    <w:link w:val="a9"/>
    <w:uiPriority w:val="10"/>
    <w:qFormat/>
    <w:rsid w:val="00C40A3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40A3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40A3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40A3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2021-09-08T07:29:00Z</dcterms:created>
  <dcterms:modified xsi:type="dcterms:W3CDTF">2021-09-08T07:30:00Z</dcterms:modified>
</cp:coreProperties>
</file>