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ВОПРОС: </w:t>
      </w:r>
      <w:bookmarkStart w:id="0" w:name="__DdeLink__562_216995939"/>
      <w:r>
        <w:rPr/>
        <w:t>Можно ли применить правило «нулевого дохода»</w:t>
      </w:r>
      <w:bookmarkEnd w:id="0"/>
      <w:r>
        <w:rPr/>
        <w:t>, если в семье есть маленькие дети и оба родителя неработающие?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ОТВЕТ: Отсутствие официальных доходов у одного из членов семьи трудоспособного возраста зачастую являются причиной отказа в назначении новых ежемесячных пособий родителям, воспитывающим детей в одиночку, а также женщинам, вставшим на учет в медорганизациях на ранних сроках беременности. Если человек не работал, то для назначения выплаты у заявителя или членов его семьи должны быть уважительные причины.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483235</wp:posOffset>
            </wp:positionH>
            <wp:positionV relativeFrom="paragraph">
              <wp:posOffset>553085</wp:posOffset>
            </wp:positionV>
            <wp:extent cx="5154295" cy="289814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95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2021-09-23T11:32:33Z</dcterms:created>
  <dc:language>ru-RU</dc:language>
  <dcterms:modified xsi:type="dcterms:W3CDTF">2021-09-23T11:33:47Z</dcterms:modified>
  <cp:revision>1</cp:revision>
</cp:coreProperties>
</file>