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8"/>
          <w:szCs w:val="28"/>
        </w:rPr>
      </w:pPr>
      <w:bookmarkStart w:id="0" w:name="__DdeLink__590_216995939"/>
      <w:bookmarkEnd w:id="0"/>
      <w:r>
        <w:rPr>
          <w:sz w:val="28"/>
          <w:szCs w:val="28"/>
        </w:rPr>
        <w:t>Основными факторами, влияющими на размер пенсии являются: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размер заработной платы: чем выше зарплата, тем выше пенсия. Если работодатель не делал взносы за своего работника в систему обязательного пенсионного страхования в полном объеме (например, в случае выплаты «серой» заработной платы), этот заработок в формировании пенсионного капитала не участвует;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длительность страхового стажа: чем продолжительнее страховой стаж гражданина, тем больше у него будет сформировано пенсионных прав, за каждый год трудовой деятельности будет начисляться определенное количество пенсионных баллов;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возраст обращения за назначением страховой пенсии: пенсия будет существенно повышена за каждый год, истекший после достижения пенсионного возраста до обращения за пенсией.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на размер пенсии влияет работа или проживание в условиях Крайнего Севера или в местностях, приравненных к Крайнему Северу (фиксированная выплата, которая выплачивается к пенсии, в этих районах выше).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действующих правилах расчета пенсии засчитываются в стаж такие социально значимые периоды жизни человека, как срочная служба в армии, уход за ребенком, ребенком-инвалидом, гражданином старше 80 лет. За эти так называемые «нестраховые» периоды присваиваются пенсионные баллы, если в эти периоды гражданин не работал. Однако важно помнить, что «нестраховые» периоды не включаются в «северный» стаж.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39540" cy="399669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40" cy="3996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2021-09-23T11:46:50Z</dcterms:created>
  <dc:language>ru-RU</dc:language>
  <dcterms:modified xsi:type="dcterms:W3CDTF">2021-09-23T11:48:29Z</dcterms:modified>
  <cp:revision>1</cp:revision>
</cp:coreProperties>
</file>