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outlineLvl w:val="0"/>
        <w:rPr>
          <w:rFonts w:ascii="Times New Roman" w:hAnsi="Times New Roman" w:eastAsia="Times New Roman" w:cs="Times New Roman"/>
          <w:b/>
          <w:b/>
          <w:bCs/>
          <w:sz w:val="48"/>
          <w:szCs w:val="4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48"/>
          <w:szCs w:val="48"/>
          <w:lang w:eastAsia="ru-RU"/>
        </w:rPr>
        <w:t>С 1 августа ОСФР по Мордовии провела перерасчет пенсии 51 978 работающим пенсионерам региона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  <mc:AlternateContent>
          <mc:Choice Requires="wps">
            <w:drawing>
              <wp:inline distT="0" distB="0" distL="114300" distR="114300">
                <wp:extent cx="1270" cy="19685"/>
                <wp:effectExtent l="0" t="0" r="0" b="0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0" name="Rectangle 1"/>
                        <wps:cNvSpPr/>
                      </wps:nvSpPr>
                      <wps:spPr>
                        <a:xfrm>
                          <a:off x="0" y="0"/>
                          <a:ext cx="72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fillcolor="#a0a0a0" stroked="f" style="position:absolute;margin-left:0pt;margin-top:0pt;width:0pt;height:1.45pt">
                <w10:wrap type="none"/>
                <v:fill o:detectmouseclick="t" type="solid" color2="#5f5f5f"/>
                <v:stroke color="#3465a4" joinstyle="round" endcap="flat"/>
              </v:rect>
            </w:pict>
          </mc:Fallback>
        </mc:AlternateContent>
      </w:r>
    </w:p>
    <w:p>
      <w:pPr>
        <w:pStyle w:val="Normal"/>
        <w:spacing w:lineRule="auto" w:line="24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i/>
          <w:iCs/>
          <w:sz w:val="24"/>
          <w:szCs w:val="24"/>
          <w:lang w:eastAsia="ru-RU"/>
        </w:rPr>
        <w:tab/>
        <w:t>П</w:t>
      </w:r>
      <w:r>
        <w:rPr>
          <w:rFonts w:eastAsia="Times New Roman" w:cs="Times New Roman" w:ascii="Times New Roman" w:hAnsi="Times New Roman"/>
          <w:i/>
          <w:iCs/>
          <w:sz w:val="24"/>
          <w:szCs w:val="24"/>
          <w:lang w:eastAsia="ru-RU"/>
        </w:rPr>
        <w:t xml:space="preserve">рибавка полагается пенсионерам, которые в 2022 году осуществляли трудовую деятельность, а работодатели отчисляли за них страховые взносы в Социальный фонд. 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 Республике Мордовия корректировка пенсий с 1 августа коснулась 51 978 человек. Это работавшие в минувшем году получатели страховых пенсий по старости и по инвалидности.</w:t>
      </w:r>
    </w:p>
    <w:p>
      <w:pPr>
        <w:pStyle w:val="Normal"/>
        <w:spacing w:lineRule="auto" w:line="24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Размер прибавки к пенсии в данном случае носит индивидуальный характер: он зависит от уровня заработной платы работающего пенсионера в 2022 году и соответственно от суммы уплаченных за него работодателем страховых взносов и начисленных пенсионных коэффициентов.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Перерасчет страховой пенсии в августе носит беззаявительный характер, работающим пенсионерам не нужно приходить в клиентские службы Социального фонда республики.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d3642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2d01e3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2d01e3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tyle11">
    <w:name w:val="Выделение"/>
    <w:basedOn w:val="DefaultParagraphFont"/>
    <w:uiPriority w:val="20"/>
    <w:qFormat/>
    <w:rsid w:val="002d01e3"/>
    <w:rPr>
      <w:i/>
      <w:iCs/>
    </w:rPr>
  </w:style>
  <w:style w:type="character" w:styleId="ListLabel1">
    <w:name w:val="ListLabel 1"/>
    <w:qFormat/>
    <w:rPr>
      <w:rFonts w:ascii="Times New Roman" w:hAnsi="Times New Roman"/>
      <w:sz w:val="24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2d01e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M0" w:customStyle="1">
    <w:name w:val="m-0"/>
    <w:basedOn w:val="Normal"/>
    <w:qFormat/>
    <w:rsid w:val="002d01e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6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2023-08-02T09:53:00Z</dcterms:created>
  <dc:creator>011IsajkinaUD</dc:creator>
  <dc:language>ru-RU</dc:language>
  <cp:lastPrinted>2023-08-03T09:53:39Z</cp:lastPrinted>
  <dcterms:modified xsi:type="dcterms:W3CDTF">2023-08-03T09:54:17Z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