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numPr>
          <w:ilvl w:val="0"/>
          <w:numId w:val="0"/>
        </w:numPr>
        <w:spacing w:lineRule="auto" w:line="240" w:beforeAutospacing="1" w:afterAutospacing="1"/>
        <w:jc w:val="center"/>
        <w:outlineLvl w:val="0"/>
        <w:rPr>
          <w:sz w:val="32"/>
          <w:szCs w:val="32"/>
        </w:rPr>
      </w:pPr>
      <w:r>
        <w:rPr>
          <w:rFonts w:eastAsia="Times New Roman" w:cs="Times New Roman" w:ascii="Times New Roman" w:hAnsi="Times New Roman"/>
          <w:b/>
          <w:bCs/>
          <w:sz w:val="32"/>
          <w:szCs w:val="32"/>
          <w:lang w:eastAsia="ru-RU"/>
        </w:rPr>
        <w:t>Отделение СФР по Мордовии возместило расходы на охрану труда 169 предприятиям республики в 2023 году</w:t>
      </w:r>
      <w:r>
        <w:rPr>
          <w:sz w:val="32"/>
          <w:szCs w:val="32"/>
        </w:rPr>
        <mc:AlternateContent>
          <mc:Choice Requires="wps">
            <w:drawing>
              <wp:inline distT="0" distB="0" distL="0" distR="0">
                <wp:extent cx="1905" cy="20320"/>
                <wp:effectExtent l="0" t="0" r="0" b="0"/>
                <wp:docPr id="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0" cy="19800"/>
                        </a:xfrm>
                        <a:prstGeom prst="rect">
                          <a:avLst/>
                        </a:prstGeom>
                        <a:solidFill>
                          <a:srgbClr val="a0a0a0"/>
                        </a:solidFill>
                        <a:ln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rect id="shape_0" fillcolor="#a0a0a0" stroked="f" style="position:absolute;margin-left:0pt;margin-top:0pt;width:0.05pt;height:1.5pt">
                <w10:wrap type="none"/>
                <v:fill o:detectmouseclick="t" type="solid" color2="#5f5f5f"/>
                <v:stroke color="#3465a4" joinstyle="round" endcap="flat"/>
              </v:rect>
            </w:pict>
          </mc:Fallback>
        </mc:AlternateContent>
      </w:r>
    </w:p>
    <w:p>
      <w:pPr>
        <w:pStyle w:val="Normal"/>
        <w:spacing w:lineRule="auto" w:line="240" w:beforeAutospacing="1" w:afterAutospacing="1"/>
        <w:jc w:val="both"/>
        <w:rPr/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ab/>
        <w:t>В 2023 году 169 работодателей  Мордовии  получили компенсацию расходов на мероприятия по охране труда от регионального Отделения Социального фонда на общую сумму свыше 84 миллионов 600 тысяч рублей.</w:t>
      </w:r>
    </w:p>
    <w:p>
      <w:pPr>
        <w:pStyle w:val="Normal"/>
        <w:spacing w:lineRule="auto" w:line="240" w:beforeAutospacing="1" w:afterAutospacing="1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Изначально финансовое обеспечение мероприятий страхователи проводят за счет собственных средств, а затем обращаются за их возмещением в ОСФР.</w:t>
      </w:r>
    </w:p>
    <w:p>
      <w:pPr>
        <w:pStyle w:val="Normal"/>
        <w:spacing w:lineRule="auto" w:line="240" w:beforeAutospacing="1" w:afterAutospacing="1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На меры по предупреждению производственного травматизма и профессиональных заболеваний работодатель может потратить до 20% сумм страховых взносов на обязательное социальное страхование от несчастных случаев на производстве и профзаболеваний, которые были начислены за прошедший календарный год. Исключением являются страхователи, направившие работников предпенсионного возраста на санаторно-курортное лечение. Они могут увеличить объем средств на предупредительные меры до 30% сумм страховых взносов.</w:t>
      </w:r>
    </w:p>
    <w:p>
      <w:pPr>
        <w:pStyle w:val="Normal"/>
        <w:spacing w:lineRule="auto" w:line="240" w:beforeAutospacing="1" w:afterAutospacing="1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«Организации самостоятельно выбирают, на какие меры по охране труда направить средства. По итогам 2023 года самыми востребованными мероприятиями  для большинства предприятий Мордовии стали приобретение для работников средств индивидуальной защиты, а также смывающих и обезвреживающих средств. Кроме того, из года в год одной из популярных мер остается санаторно-курортное лечение работников предпенсионного возраста и проведение периодических медицинских осмотров работников. В этом году работа по финансированию мер по охране труда Социальным фондом продолжается, соответствующие заявления и документы будут приниматься до 1 августа», — отметил управляющий Отделением СФР по Республике Мордовия </w:t>
      </w: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  <w:t>Владимир Василькин.</w:t>
      </w:r>
    </w:p>
    <w:p>
      <w:pPr>
        <w:pStyle w:val="Normal"/>
        <w:spacing w:lineRule="auto" w:line="240" w:beforeAutospacing="1" w:afterAutospacing="1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На финансирование мероприятий по охране труда может рассчитывать любая организация независимо от формы собственности. Основным требованием для получения компенсации является отсутствие у работодателя задолженностей по уплате страховых взносов, а также непогашенных пеней и штрафов.</w:t>
      </w:r>
    </w:p>
    <w:p>
      <w:pPr>
        <w:pStyle w:val="Normal"/>
        <w:spacing w:lineRule="auto" w:line="240" w:beforeAutospacing="1" w:afterAutospacing="1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Консультации и разъяснения по вопросу финансового обеспечения предупредительных мер можно получить по телефону горячей линии для страхователей: 8 (937) 681-65-36.</w:t>
      </w:r>
    </w:p>
    <w:p>
      <w:pPr>
        <w:pStyle w:val="Normal"/>
        <w:spacing w:before="0" w:after="200"/>
        <w:jc w:val="both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4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82230f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sz w:val="22"/>
      <w:szCs w:val="22"/>
      <w:lang w:val="ru-RU" w:eastAsia="en-US" w:bidi="ar-SA"/>
    </w:rPr>
  </w:style>
  <w:style w:type="paragraph" w:styleId="1">
    <w:name w:val="Заголовок 1"/>
    <w:basedOn w:val="Normal"/>
    <w:link w:val="10"/>
    <w:uiPriority w:val="9"/>
    <w:qFormat/>
    <w:rsid w:val="002e6874"/>
    <w:pPr>
      <w:spacing w:lineRule="auto" w:line="240" w:beforeAutospacing="1" w:afterAutospacing="1"/>
      <w:outlineLvl w:val="0"/>
    </w:pPr>
    <w:rPr>
      <w:rFonts w:ascii="Times New Roman" w:hAnsi="Times New Roman" w:eastAsia="Times New Roman" w:cs="Times New Roman"/>
      <w:b/>
      <w:bCs/>
      <w:sz w:val="48"/>
      <w:szCs w:val="48"/>
      <w:lang w:eastAsia="ru-RU"/>
    </w:rPr>
  </w:style>
  <w:style w:type="paragraph" w:styleId="2">
    <w:name w:val="Заголовок 2"/>
    <w:basedOn w:val="Style11"/>
    <w:pPr/>
    <w:rPr/>
  </w:style>
  <w:style w:type="paragraph" w:styleId="3">
    <w:name w:val="Заголовок 3"/>
    <w:basedOn w:val="Style11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uiPriority w:val="9"/>
    <w:qFormat/>
    <w:rsid w:val="002e6874"/>
    <w:rPr>
      <w:rFonts w:ascii="Times New Roman" w:hAnsi="Times New Roman" w:eastAsia="Times New Roman" w:cs="Times New Roman"/>
      <w:b/>
      <w:bCs/>
      <w:sz w:val="48"/>
      <w:szCs w:val="48"/>
      <w:lang w:eastAsia="ru-RU"/>
    </w:rPr>
  </w:style>
  <w:style w:type="character" w:styleId="Strong">
    <w:name w:val="Strong"/>
    <w:basedOn w:val="DefaultParagraphFont"/>
    <w:uiPriority w:val="22"/>
    <w:qFormat/>
    <w:rsid w:val="002e6874"/>
    <w:rPr>
      <w:b/>
      <w:bCs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NormalWeb">
    <w:name w:val="Normal (Web)"/>
    <w:basedOn w:val="Normal"/>
    <w:uiPriority w:val="99"/>
    <w:semiHidden/>
    <w:unhideWhenUsed/>
    <w:qFormat/>
    <w:rsid w:val="002e6874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Style16">
    <w:name w:val="Блочная цитата"/>
    <w:basedOn w:val="Normal"/>
    <w:qFormat/>
    <w:pPr/>
    <w:rPr/>
  </w:style>
  <w:style w:type="paragraph" w:styleId="Style17">
    <w:name w:val="Заглавие"/>
    <w:basedOn w:val="Style11"/>
    <w:pPr/>
    <w:rPr/>
  </w:style>
  <w:style w:type="paragraph" w:styleId="Style18">
    <w:name w:val="Подзаголовок"/>
    <w:basedOn w:val="Style11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Application>LibreOffice/5.0.1.2$Windows_x86 LibreOffice_project/81898c9f5c0d43f3473ba111d7b351050be20261</Application>
  <Paragraphs>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2024-03-05T14:14:00Z</dcterms:created>
  <dc:creator>011IsajkinaUD</dc:creator>
  <dc:language>ru-RU</dc:language>
  <cp:lastPrinted>2024-03-05T17:20:11Z</cp:lastPrinted>
  <dcterms:modified xsi:type="dcterms:W3CDTF">2024-03-05T17:20:19Z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