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CB0" w:rsidRPr="00AD5CB0" w:rsidRDefault="00AD5CB0" w:rsidP="00AD5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CB0">
        <w:rPr>
          <w:rFonts w:ascii="Times New Roman" w:hAnsi="Times New Roman" w:cs="Times New Roman"/>
          <w:b/>
          <w:sz w:val="28"/>
          <w:szCs w:val="28"/>
        </w:rPr>
        <w:t xml:space="preserve">ЦБ РФ: Доля безналичных платежей в розничном обороте выросла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AD5CB0">
        <w:rPr>
          <w:rFonts w:ascii="Times New Roman" w:hAnsi="Times New Roman" w:cs="Times New Roman"/>
          <w:b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sz w:val="28"/>
          <w:szCs w:val="28"/>
        </w:rPr>
        <w:t xml:space="preserve">2023 </w:t>
      </w:r>
      <w:r w:rsidRPr="00AD5CB0">
        <w:rPr>
          <w:rFonts w:ascii="Times New Roman" w:hAnsi="Times New Roman" w:cs="Times New Roman"/>
          <w:b/>
          <w:sz w:val="28"/>
          <w:szCs w:val="28"/>
        </w:rPr>
        <w:t>год до 83,4%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D5CB0">
        <w:rPr>
          <w:rFonts w:ascii="Times New Roman" w:hAnsi="Times New Roman" w:cs="Times New Roman"/>
          <w:sz w:val="28"/>
          <w:szCs w:val="28"/>
        </w:rPr>
        <w:t>В РФ показатель доли безналичных платежей в розничном обороте — один из самых высоких в мире, сообщили в Банке России. За прошлый год эта доля выросла более чем на пять процентных пунктов, до 83,4 процента, сказано в отчете, размещенном на сайте ЦБ РФ.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D5CB0">
        <w:rPr>
          <w:rFonts w:ascii="Times New Roman" w:hAnsi="Times New Roman" w:cs="Times New Roman"/>
          <w:sz w:val="28"/>
          <w:szCs w:val="28"/>
        </w:rPr>
        <w:t>В 2023 году продолжалось развитие системы «Мир» и Системы быстрых платежей, а также инновационных платежных сервисов.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D5CB0">
        <w:rPr>
          <w:rFonts w:ascii="Times New Roman" w:hAnsi="Times New Roman" w:cs="Times New Roman"/>
          <w:sz w:val="28"/>
          <w:szCs w:val="28"/>
        </w:rPr>
        <w:t>«Рынок платежных карт показал активный рост, прежде всего за счет карт «Мир», которые замещали карты международных платежных систем. За год количество выпущенных карт «Мир» выросло в 1,6 раза и превысило 287 миллионов», — говорится в отчете.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D5CB0">
        <w:rPr>
          <w:rFonts w:ascii="Times New Roman" w:hAnsi="Times New Roman" w:cs="Times New Roman"/>
          <w:sz w:val="28"/>
          <w:szCs w:val="28"/>
        </w:rPr>
        <w:t>Что касается СБП, то, по данным на 1 января нынешнего года, каждый второй россиянин с помощью этой системы переводил деньги, а каждый третий оплачивал товары и услуги.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D5CB0">
        <w:rPr>
          <w:rFonts w:ascii="Times New Roman" w:hAnsi="Times New Roman" w:cs="Times New Roman"/>
          <w:sz w:val="28"/>
          <w:szCs w:val="28"/>
        </w:rPr>
        <w:t>Как отметили в ЦБ, в 2023 году была сформирована законодательная и нормативная база по цифровому рублю.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 w:rsidRPr="00AD5CB0">
        <w:rPr>
          <w:rFonts w:ascii="Times New Roman" w:hAnsi="Times New Roman" w:cs="Times New Roman"/>
          <w:sz w:val="28"/>
          <w:szCs w:val="28"/>
        </w:rPr>
        <w:t>«Планомерная подготовка к внедрению цифрового рубля вошла в решающую стадию. После внесения необходимых изменений в законодательство Банк России начал пилотирование операций с реальными цифровыми рублями», — говорится в отчете.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5CB0">
        <w:rPr>
          <w:rFonts w:ascii="Times New Roman" w:hAnsi="Times New Roman" w:cs="Times New Roman"/>
          <w:sz w:val="28"/>
          <w:szCs w:val="28"/>
        </w:rPr>
        <w:t>Вывести цифровой рубль в широкий оборот планируется только по окончании пилотного периода. В Центробанке ожидают, что масштабирование произойдет не ранее 2025 года.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 w:rsidRPr="00AD5CB0">
        <w:rPr>
          <w:rFonts w:ascii="Times New Roman" w:hAnsi="Times New Roman" w:cs="Times New Roman"/>
          <w:sz w:val="28"/>
          <w:szCs w:val="28"/>
        </w:rPr>
        <w:t xml:space="preserve">Как отметили в ЦБ, одним из ключевых вызовов в прошлом году стало сохранение темпов </w:t>
      </w:r>
      <w:proofErr w:type="spellStart"/>
      <w:r w:rsidRPr="00AD5CB0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AD5CB0">
        <w:rPr>
          <w:rFonts w:ascii="Times New Roman" w:hAnsi="Times New Roman" w:cs="Times New Roman"/>
          <w:sz w:val="28"/>
          <w:szCs w:val="28"/>
        </w:rPr>
        <w:t xml:space="preserve"> финансового рынка. При этом переход на передовые отечественные технологии в этой сфере продолжился.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 w:rsidRPr="00AD5CB0">
        <w:rPr>
          <w:rFonts w:ascii="Times New Roman" w:hAnsi="Times New Roman" w:cs="Times New Roman"/>
          <w:sz w:val="28"/>
          <w:szCs w:val="28"/>
        </w:rPr>
        <w:t>Как сообщала ранее «Парламентская газета», эксперты посчитали, что доля цифрового рубля в общем объеме транзакций уже через год после его внедрения может составить от 32 до 41 процента. По их данным, цифровой рубль может войти в обиход 40 процентов пользователей.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 w:rsidRPr="00AD5CB0">
        <w:rPr>
          <w:rFonts w:ascii="Times New Roman" w:hAnsi="Times New Roman" w:cs="Times New Roman"/>
          <w:sz w:val="28"/>
          <w:szCs w:val="28"/>
        </w:rPr>
        <w:t>Источник: Центробанк</w:t>
      </w:r>
    </w:p>
    <w:p w:rsidR="00AD5CB0" w:rsidRP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</w:p>
    <w:p w:rsidR="00AD5CB0" w:rsidRDefault="00AD5CB0" w:rsidP="00AD5CB0">
      <w:pPr>
        <w:rPr>
          <w:rFonts w:ascii="Times New Roman" w:hAnsi="Times New Roman" w:cs="Times New Roman"/>
          <w:sz w:val="28"/>
          <w:szCs w:val="28"/>
        </w:rPr>
      </w:pPr>
      <w:r w:rsidRPr="00AD5CB0">
        <w:rPr>
          <w:rFonts w:ascii="Times New Roman" w:hAnsi="Times New Roman" w:cs="Times New Roman"/>
          <w:sz w:val="28"/>
          <w:szCs w:val="28"/>
        </w:rPr>
        <w:t xml:space="preserve">Подробнее в ПГ: </w:t>
      </w:r>
      <w:hyperlink r:id="rId4" w:history="1">
        <w:r w:rsidRPr="00AE5A91">
          <w:rPr>
            <w:rStyle w:val="a3"/>
            <w:rFonts w:ascii="Times New Roman" w:hAnsi="Times New Roman" w:cs="Times New Roman"/>
            <w:sz w:val="28"/>
            <w:szCs w:val="28"/>
          </w:rPr>
          <w:t>https://www.pnp.ru/economics/cb-rf-dolya-beznalichnykh-platezhey-v-rozn</w:t>
        </w:r>
        <w:bookmarkStart w:id="0" w:name="_GoBack"/>
        <w:bookmarkEnd w:id="0"/>
        <w:r w:rsidRPr="00AE5A91">
          <w:rPr>
            <w:rStyle w:val="a3"/>
            <w:rFonts w:ascii="Times New Roman" w:hAnsi="Times New Roman" w:cs="Times New Roman"/>
            <w:sz w:val="28"/>
            <w:szCs w:val="28"/>
          </w:rPr>
          <w:t>ichnom-oborote-vyrosla-za-god-do-834.html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D5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36C"/>
    <w:rsid w:val="0068536C"/>
    <w:rsid w:val="009937BC"/>
    <w:rsid w:val="00AD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A1E1"/>
  <w15:chartTrackingRefBased/>
  <w15:docId w15:val="{7F1A1666-C242-459D-A577-6F629ECA7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5C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np.ru/economics/cb-rf-dolya-beznalichnykh-platezhey-v-roznichnom-oborote-vyrosla-za-god-do-83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2024-04-01T08:04:00Z</dcterms:created>
  <dcterms:modified xsi:type="dcterms:W3CDTF">2024-04-01T08:07:00Z</dcterms:modified>
</cp:coreProperties>
</file>